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AE026" w14:textId="77777777" w:rsidR="00DC466A" w:rsidRDefault="00DD1992" w:rsidP="00DD1992">
      <w:pPr>
        <w:pStyle w:val="NoSpacing"/>
        <w:jc w:val="center"/>
        <w:rPr>
          <w:rFonts w:ascii="Calibri" w:hAnsi="Calibri"/>
          <w:b/>
          <w:sz w:val="23"/>
          <w:szCs w:val="23"/>
          <w:u w:val="single"/>
        </w:rPr>
      </w:pPr>
      <w:r w:rsidRPr="00DC466A">
        <w:rPr>
          <w:rFonts w:ascii="Calibri" w:hAnsi="Calibri"/>
          <w:b/>
          <w:i/>
          <w:noProof/>
          <w:sz w:val="23"/>
          <w:szCs w:val="23"/>
        </w:rPr>
        <w:drawing>
          <wp:anchor distT="0" distB="0" distL="114300" distR="114300" simplePos="0" relativeHeight="251662336" behindDoc="0" locked="0" layoutInCell="1" allowOverlap="1" wp14:anchorId="037B1BB0" wp14:editId="4E42D107">
            <wp:simplePos x="0" y="0"/>
            <wp:positionH relativeFrom="column">
              <wp:posOffset>2524760</wp:posOffset>
            </wp:positionH>
            <wp:positionV relativeFrom="paragraph">
              <wp:posOffset>-499745</wp:posOffset>
            </wp:positionV>
            <wp:extent cx="808355" cy="80835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F logo cropped.png"/>
                    <pic:cNvPicPr/>
                  </pic:nvPicPr>
                  <pic:blipFill>
                    <a:blip r:embed="rId7"/>
                    <a:stretch>
                      <a:fillRect/>
                    </a:stretch>
                  </pic:blipFill>
                  <pic:spPr>
                    <a:xfrm>
                      <a:off x="0" y="0"/>
                      <a:ext cx="808355" cy="8083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71D37B1" w14:textId="77777777" w:rsidR="00DC466A" w:rsidRDefault="00DC466A" w:rsidP="00DD1992">
      <w:pPr>
        <w:pStyle w:val="NoSpacing"/>
        <w:jc w:val="center"/>
        <w:rPr>
          <w:rFonts w:ascii="Calibri" w:hAnsi="Calibri"/>
          <w:b/>
          <w:sz w:val="21"/>
          <w:szCs w:val="21"/>
          <w:u w:val="single"/>
        </w:rPr>
      </w:pPr>
    </w:p>
    <w:p w14:paraId="4D57FE95" w14:textId="1ABE91A7" w:rsidR="00C07860" w:rsidRPr="005F5510" w:rsidRDefault="00726EA7" w:rsidP="00DD1992">
      <w:pPr>
        <w:pStyle w:val="NoSpacing"/>
        <w:jc w:val="center"/>
        <w:rPr>
          <w:rFonts w:ascii="Times New Roman" w:hAnsi="Times New Roman" w:cs="Times New Roman"/>
          <w:b/>
          <w:sz w:val="21"/>
          <w:szCs w:val="21"/>
        </w:rPr>
      </w:pPr>
      <w:r w:rsidRPr="005F5510">
        <w:rPr>
          <w:rFonts w:ascii="Times New Roman" w:hAnsi="Times New Roman" w:cs="Times New Roman"/>
          <w:b/>
          <w:sz w:val="21"/>
          <w:szCs w:val="21"/>
        </w:rPr>
        <w:t>Regional Policy Positions</w:t>
      </w:r>
      <w:r w:rsidR="009C0F35" w:rsidRPr="005F5510">
        <w:rPr>
          <w:rFonts w:ascii="Times New Roman" w:hAnsi="Times New Roman" w:cs="Times New Roman"/>
          <w:b/>
          <w:sz w:val="21"/>
          <w:szCs w:val="21"/>
        </w:rPr>
        <w:t xml:space="preserve">: </w:t>
      </w:r>
      <w:r w:rsidR="00DD1992" w:rsidRPr="005F5510">
        <w:rPr>
          <w:rFonts w:ascii="Times New Roman" w:hAnsi="Times New Roman" w:cs="Times New Roman"/>
          <w:b/>
          <w:sz w:val="21"/>
          <w:szCs w:val="21"/>
        </w:rPr>
        <w:t xml:space="preserve">Pacific </w:t>
      </w:r>
      <w:r w:rsidR="00C07860" w:rsidRPr="005F5510">
        <w:rPr>
          <w:rFonts w:ascii="Times New Roman" w:hAnsi="Times New Roman" w:cs="Times New Roman"/>
          <w:b/>
          <w:sz w:val="21"/>
          <w:szCs w:val="21"/>
        </w:rPr>
        <w:t xml:space="preserve">Government </w:t>
      </w:r>
      <w:r w:rsidR="00DC466A" w:rsidRPr="005F5510">
        <w:rPr>
          <w:rFonts w:ascii="Times New Roman" w:hAnsi="Times New Roman" w:cs="Times New Roman"/>
          <w:b/>
          <w:sz w:val="21"/>
          <w:szCs w:val="21"/>
        </w:rPr>
        <w:t xml:space="preserve">Post-2015 </w:t>
      </w:r>
      <w:r w:rsidR="00C07860" w:rsidRPr="005F5510">
        <w:rPr>
          <w:rFonts w:ascii="Times New Roman" w:hAnsi="Times New Roman" w:cs="Times New Roman"/>
          <w:b/>
          <w:sz w:val="21"/>
          <w:szCs w:val="21"/>
        </w:rPr>
        <w:t xml:space="preserve">Positions </w:t>
      </w:r>
      <w:r w:rsidR="00DC466A" w:rsidRPr="005F5510">
        <w:rPr>
          <w:rFonts w:ascii="Times New Roman" w:hAnsi="Times New Roman" w:cs="Times New Roman"/>
          <w:b/>
          <w:sz w:val="21"/>
          <w:szCs w:val="21"/>
        </w:rPr>
        <w:t xml:space="preserve">on Gender Equality, </w:t>
      </w:r>
      <w:r w:rsidR="009C0F35" w:rsidRPr="005F5510">
        <w:rPr>
          <w:rFonts w:ascii="Times New Roman" w:hAnsi="Times New Roman" w:cs="Times New Roman"/>
          <w:b/>
          <w:sz w:val="21"/>
          <w:szCs w:val="21"/>
        </w:rPr>
        <w:br/>
      </w:r>
      <w:r w:rsidR="00DC466A" w:rsidRPr="005F5510">
        <w:rPr>
          <w:rFonts w:ascii="Times New Roman" w:hAnsi="Times New Roman" w:cs="Times New Roman"/>
          <w:b/>
          <w:sz w:val="21"/>
          <w:szCs w:val="21"/>
        </w:rPr>
        <w:t xml:space="preserve">Climate Change and Sustainable Development </w:t>
      </w:r>
    </w:p>
    <w:p w14:paraId="0EFCD40F" w14:textId="77777777" w:rsidR="00DD1992" w:rsidRPr="00DC466A" w:rsidRDefault="00DD1992" w:rsidP="00DD1992">
      <w:pPr>
        <w:pStyle w:val="NoSpacing"/>
        <w:jc w:val="center"/>
        <w:rPr>
          <w:rFonts w:ascii="Calibri" w:hAnsi="Calibri"/>
          <w:sz w:val="21"/>
          <w:szCs w:val="21"/>
        </w:rPr>
      </w:pPr>
    </w:p>
    <w:p w14:paraId="320613DF" w14:textId="76200866" w:rsidR="00DD1992" w:rsidRPr="00DC466A" w:rsidRDefault="00DA39E4" w:rsidP="00D169CA">
      <w:pPr>
        <w:pStyle w:val="NoSpacing"/>
        <w:jc w:val="both"/>
        <w:rPr>
          <w:rFonts w:ascii="Calibri" w:hAnsi="Calibri"/>
          <w:sz w:val="21"/>
          <w:szCs w:val="21"/>
          <w:highlight w:val="cyan"/>
        </w:rPr>
      </w:pPr>
      <w:r w:rsidRPr="00DA39E4">
        <w:rPr>
          <w:rFonts w:ascii="Calibri" w:hAnsi="Calibri"/>
          <w:sz w:val="21"/>
          <w:szCs w:val="21"/>
        </w:rPr>
        <w:t>Regions Refocu</w:t>
      </w:r>
      <w:r w:rsidR="000A61A5">
        <w:rPr>
          <w:rFonts w:ascii="Calibri" w:hAnsi="Calibri"/>
          <w:sz w:val="21"/>
          <w:szCs w:val="21"/>
        </w:rPr>
        <w:t>s</w:t>
      </w:r>
      <w:r w:rsidRPr="00DA39E4">
        <w:rPr>
          <w:rFonts w:ascii="Calibri" w:hAnsi="Calibri"/>
          <w:sz w:val="21"/>
          <w:szCs w:val="21"/>
        </w:rPr>
        <w:t>, an initiative housed at the Dag Hammarskjöld Foundation</w:t>
      </w:r>
      <w:r w:rsidR="00DD1992" w:rsidRPr="00DC466A">
        <w:rPr>
          <w:rFonts w:ascii="Calibri" w:hAnsi="Calibri"/>
          <w:sz w:val="21"/>
          <w:szCs w:val="21"/>
        </w:rPr>
        <w:t>, has compiled below the proposals of Pacific governments, articulated in the Open Working Group (OWG) on Sustainable Development Goals (SDGs) and the Asia Pacific Forum on Sustainable Development (APFSD), related to the main themes of the meeting “Pacific Partnerships to Strengthen Gender, Climate Change Response and Sustainable Development (PP4GCDP</w:t>
      </w:r>
      <w:bookmarkStart w:id="0" w:name="_GoBack"/>
      <w:bookmarkEnd w:id="0"/>
      <w:r w:rsidR="00DD1992" w:rsidRPr="00DC466A">
        <w:rPr>
          <w:rFonts w:ascii="Calibri" w:hAnsi="Calibri"/>
          <w:sz w:val="21"/>
          <w:szCs w:val="21"/>
        </w:rPr>
        <w:t xml:space="preserve">),” to be held 9-13 June, in </w:t>
      </w:r>
      <w:proofErr w:type="spellStart"/>
      <w:r w:rsidR="00DD1992" w:rsidRPr="00DC466A">
        <w:rPr>
          <w:rFonts w:ascii="Calibri" w:hAnsi="Calibri"/>
          <w:sz w:val="21"/>
          <w:szCs w:val="21"/>
        </w:rPr>
        <w:t>Nadi</w:t>
      </w:r>
      <w:proofErr w:type="spellEnd"/>
      <w:r w:rsidR="00DD1992" w:rsidRPr="00DC466A">
        <w:rPr>
          <w:rFonts w:ascii="Calibri" w:hAnsi="Calibri"/>
          <w:sz w:val="21"/>
          <w:szCs w:val="21"/>
        </w:rPr>
        <w:t>, Fiji. The agreed language listed in the right column comes from the outcome document</w:t>
      </w:r>
      <w:r w:rsidR="00DD1992" w:rsidRPr="00DC466A">
        <w:rPr>
          <w:rFonts w:ascii="Calibri" w:hAnsi="Calibri"/>
          <w:i/>
          <w:sz w:val="21"/>
          <w:szCs w:val="21"/>
        </w:rPr>
        <w:t xml:space="preserve"> </w:t>
      </w:r>
      <w:r w:rsidR="00DD1992" w:rsidRPr="00DC466A">
        <w:rPr>
          <w:rFonts w:ascii="Calibri" w:hAnsi="Calibri"/>
          <w:sz w:val="21"/>
          <w:szCs w:val="21"/>
        </w:rPr>
        <w:t xml:space="preserve">of the OWG (July 2014) and the Intergovernmental Committee of Experts on Sustainable Development Financing (ICESDF, August 2014). </w:t>
      </w:r>
    </w:p>
    <w:p w14:paraId="5E7123C7" w14:textId="77777777" w:rsidR="00AC530E" w:rsidRPr="00DC466A" w:rsidRDefault="00AC530E" w:rsidP="00AC530E">
      <w:pPr>
        <w:pStyle w:val="NoSpacing"/>
        <w:ind w:firstLine="720"/>
        <w:rPr>
          <w:rFonts w:ascii="Calibri" w:hAnsi="Calibri"/>
          <w:sz w:val="21"/>
          <w:szCs w:val="21"/>
        </w:rPr>
      </w:pPr>
    </w:p>
    <w:p w14:paraId="07B30386" w14:textId="0579C9CC" w:rsidR="00C07860" w:rsidRPr="00DC466A" w:rsidRDefault="00C07860" w:rsidP="00AC530E">
      <w:pPr>
        <w:pStyle w:val="NoSpacing"/>
        <w:rPr>
          <w:rFonts w:ascii="Calibri" w:hAnsi="Calibri"/>
          <w:sz w:val="21"/>
          <w:szCs w:val="21"/>
        </w:rPr>
      </w:pPr>
      <w:r w:rsidRPr="00DC466A">
        <w:rPr>
          <w:rFonts w:ascii="Calibri" w:hAnsi="Calibri"/>
          <w:sz w:val="21"/>
          <w:szCs w:val="21"/>
        </w:rPr>
        <w:t>For more detail</w:t>
      </w:r>
      <w:r w:rsidR="00383E35" w:rsidRPr="00DC466A">
        <w:rPr>
          <w:rFonts w:ascii="Calibri" w:hAnsi="Calibri"/>
          <w:sz w:val="21"/>
          <w:szCs w:val="21"/>
        </w:rPr>
        <w:t xml:space="preserve"> on the Open Working Group</w:t>
      </w:r>
      <w:r w:rsidRPr="00DC466A">
        <w:rPr>
          <w:rFonts w:ascii="Calibri" w:hAnsi="Calibri"/>
          <w:sz w:val="21"/>
          <w:szCs w:val="21"/>
        </w:rPr>
        <w:t xml:space="preserve">, see the background </w:t>
      </w:r>
      <w:r w:rsidR="00007220">
        <w:rPr>
          <w:rFonts w:ascii="Calibri" w:hAnsi="Calibri"/>
          <w:sz w:val="21"/>
          <w:szCs w:val="21"/>
        </w:rPr>
        <w:t>document</w:t>
      </w:r>
      <w:r w:rsidR="0090323D" w:rsidRPr="00DC466A">
        <w:rPr>
          <w:rFonts w:ascii="Calibri" w:hAnsi="Calibri"/>
          <w:sz w:val="21"/>
          <w:szCs w:val="21"/>
        </w:rPr>
        <w:t xml:space="preserve"> at </w:t>
      </w:r>
      <w:hyperlink r:id="rId8" w:history="1">
        <w:r w:rsidR="001C47B6" w:rsidRPr="00DC466A">
          <w:rPr>
            <w:rStyle w:val="Hyperlink"/>
            <w:rFonts w:ascii="Calibri" w:hAnsi="Calibri"/>
            <w:sz w:val="21"/>
            <w:szCs w:val="21"/>
          </w:rPr>
          <w:t>http://bit.ly/1pltggK</w:t>
        </w:r>
      </w:hyperlink>
      <w:r w:rsidR="001C47B6" w:rsidRPr="00DC466A">
        <w:rPr>
          <w:rFonts w:ascii="Calibri" w:hAnsi="Calibri"/>
          <w:sz w:val="21"/>
          <w:szCs w:val="21"/>
        </w:rPr>
        <w:t xml:space="preserve">. </w:t>
      </w:r>
    </w:p>
    <w:p w14:paraId="57EAF745" w14:textId="56FF07AE" w:rsidR="00DD1992" w:rsidRPr="00DC466A" w:rsidRDefault="00383E35" w:rsidP="00AC530E">
      <w:pPr>
        <w:pStyle w:val="NoSpacing"/>
        <w:rPr>
          <w:rFonts w:ascii="Calibri" w:hAnsi="Calibri"/>
          <w:sz w:val="21"/>
          <w:szCs w:val="21"/>
        </w:rPr>
      </w:pPr>
      <w:r w:rsidRPr="00DC466A">
        <w:rPr>
          <w:rFonts w:ascii="Calibri" w:hAnsi="Calibri"/>
          <w:sz w:val="21"/>
          <w:szCs w:val="21"/>
        </w:rPr>
        <w:t xml:space="preserve">For more detail on the APFSD, see the </w:t>
      </w:r>
      <w:r w:rsidR="00DD1992" w:rsidRPr="00DC466A">
        <w:rPr>
          <w:rFonts w:ascii="Calibri" w:hAnsi="Calibri"/>
          <w:sz w:val="21"/>
          <w:szCs w:val="21"/>
        </w:rPr>
        <w:t>backgroun</w:t>
      </w:r>
      <w:r w:rsidRPr="00DC466A">
        <w:rPr>
          <w:rFonts w:ascii="Calibri" w:hAnsi="Calibri"/>
          <w:sz w:val="21"/>
          <w:szCs w:val="21"/>
        </w:rPr>
        <w:t xml:space="preserve">d document </w:t>
      </w:r>
      <w:r w:rsidR="0090323D" w:rsidRPr="00DC466A">
        <w:rPr>
          <w:rFonts w:ascii="Calibri" w:hAnsi="Calibri"/>
          <w:sz w:val="21"/>
          <w:szCs w:val="21"/>
        </w:rPr>
        <w:t xml:space="preserve">at </w:t>
      </w:r>
      <w:hyperlink r:id="rId9" w:history="1">
        <w:r w:rsidR="002524EC" w:rsidRPr="00DC466A">
          <w:rPr>
            <w:rStyle w:val="Hyperlink"/>
            <w:rFonts w:ascii="Calibri" w:hAnsi="Calibri"/>
            <w:sz w:val="21"/>
            <w:szCs w:val="21"/>
          </w:rPr>
          <w:t>http://bit.ly/RUv3gm</w:t>
        </w:r>
      </w:hyperlink>
      <w:r w:rsidR="002524EC" w:rsidRPr="00DC466A">
        <w:rPr>
          <w:rFonts w:ascii="Calibri" w:hAnsi="Calibri"/>
          <w:sz w:val="21"/>
          <w:szCs w:val="21"/>
        </w:rPr>
        <w:t xml:space="preserve">. </w:t>
      </w:r>
    </w:p>
    <w:p w14:paraId="4366E24D" w14:textId="12DE2F8D" w:rsidR="00163E58" w:rsidRPr="00DD1992" w:rsidRDefault="00163E58" w:rsidP="00DD1992">
      <w:pPr>
        <w:tabs>
          <w:tab w:val="left" w:pos="1350"/>
        </w:tabs>
        <w:rPr>
          <w:rFonts w:ascii="Calibri" w:hAnsi="Calibri"/>
        </w:rPr>
      </w:pPr>
      <w:r>
        <w:rPr>
          <w:rFonts w:ascii="Calibri" w:hAnsi="Calibri"/>
        </w:rPr>
        <w:br/>
      </w:r>
      <w:r>
        <w:rPr>
          <w:rFonts w:ascii="Calibri" w:hAnsi="Calibri"/>
          <w:noProof/>
        </w:rPr>
        <w:drawing>
          <wp:inline distT="0" distB="0" distL="0" distR="0" wp14:anchorId="49FF5AD6" wp14:editId="056871B0">
            <wp:extent cx="5943600" cy="1393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ic Light.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393825"/>
                    </a:xfrm>
                    <a:prstGeom prst="rect">
                      <a:avLst/>
                    </a:prstGeom>
                  </pic:spPr>
                </pic:pic>
              </a:graphicData>
            </a:graphic>
          </wp:inline>
        </w:drawing>
      </w:r>
    </w:p>
    <w:tbl>
      <w:tblPr>
        <w:tblStyle w:val="TableGrid"/>
        <w:tblW w:w="9540"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50"/>
        <w:gridCol w:w="3870"/>
        <w:gridCol w:w="4320"/>
      </w:tblGrid>
      <w:tr w:rsidR="00F902C4" w:rsidRPr="00C109DB" w14:paraId="7711B130" w14:textId="77777777" w:rsidTr="00163E58">
        <w:tc>
          <w:tcPr>
            <w:tcW w:w="1350" w:type="dxa"/>
          </w:tcPr>
          <w:p w14:paraId="3D8EA639" w14:textId="77777777" w:rsidR="00F902C4" w:rsidRPr="00C109DB" w:rsidRDefault="00F902C4" w:rsidP="00E67743">
            <w:pPr>
              <w:pStyle w:val="NoSpacing"/>
              <w:contextualSpacing/>
              <w:rPr>
                <w:b/>
              </w:rPr>
            </w:pPr>
            <w:r w:rsidRPr="00C109DB">
              <w:rPr>
                <w:b/>
              </w:rPr>
              <w:t>Issue</w:t>
            </w:r>
          </w:p>
        </w:tc>
        <w:tc>
          <w:tcPr>
            <w:tcW w:w="3870" w:type="dxa"/>
          </w:tcPr>
          <w:p w14:paraId="248BBE9D" w14:textId="72F1F640" w:rsidR="00F902C4" w:rsidRPr="00C109DB" w:rsidRDefault="00F902C4" w:rsidP="00F902C4">
            <w:pPr>
              <w:pStyle w:val="NoSpacing"/>
              <w:contextualSpacing/>
              <w:rPr>
                <w:b/>
              </w:rPr>
            </w:pPr>
            <w:r w:rsidRPr="00C109DB">
              <w:rPr>
                <w:b/>
              </w:rPr>
              <w:t xml:space="preserve">Proposals (and </w:t>
            </w:r>
            <w:r w:rsidRPr="00C109DB">
              <w:rPr>
                <w:b/>
                <w:u w:val="single"/>
              </w:rPr>
              <w:t>Proponents</w:t>
            </w:r>
            <w:r w:rsidRPr="00C109DB">
              <w:rPr>
                <w:b/>
              </w:rPr>
              <w:t>)</w:t>
            </w:r>
          </w:p>
        </w:tc>
        <w:tc>
          <w:tcPr>
            <w:tcW w:w="4320" w:type="dxa"/>
          </w:tcPr>
          <w:p w14:paraId="201C41B6" w14:textId="77777777" w:rsidR="00F902C4" w:rsidRPr="00C109DB" w:rsidRDefault="00F902C4" w:rsidP="00E67743">
            <w:pPr>
              <w:pStyle w:val="NoSpacing"/>
              <w:ind w:left="-82" w:firstLine="90"/>
              <w:contextualSpacing/>
              <w:rPr>
                <w:b/>
              </w:rPr>
            </w:pPr>
            <w:r w:rsidRPr="00C109DB">
              <w:rPr>
                <w:b/>
              </w:rPr>
              <w:t>Agreed Language</w:t>
            </w:r>
          </w:p>
        </w:tc>
      </w:tr>
      <w:tr w:rsidR="00F902C4" w:rsidRPr="00C109DB" w14:paraId="7650674E" w14:textId="77777777" w:rsidTr="00163E58">
        <w:tc>
          <w:tcPr>
            <w:tcW w:w="1350" w:type="dxa"/>
          </w:tcPr>
          <w:p w14:paraId="7CC788FA" w14:textId="77777777" w:rsidR="00F902C4" w:rsidRPr="00C109DB" w:rsidRDefault="00F902C4" w:rsidP="00E67743">
            <w:pPr>
              <w:pStyle w:val="NoSpacing"/>
              <w:contextualSpacing/>
              <w:rPr>
                <w:b/>
              </w:rPr>
            </w:pPr>
            <w:r w:rsidRPr="00C109DB">
              <w:rPr>
                <w:b/>
              </w:rPr>
              <w:t>Gender Equality</w:t>
            </w:r>
          </w:p>
        </w:tc>
        <w:tc>
          <w:tcPr>
            <w:tcW w:w="3870" w:type="dxa"/>
          </w:tcPr>
          <w:p w14:paraId="0556CE27" w14:textId="1772C276" w:rsidR="00D45D83" w:rsidRPr="00C109DB" w:rsidRDefault="00F57648" w:rsidP="00D45D83">
            <w:pPr>
              <w:pStyle w:val="NoSpacing"/>
            </w:pPr>
            <w:r w:rsidRPr="00F171FB">
              <w:rPr>
                <w:b/>
                <w:noProof/>
                <w:color w:val="FF6600"/>
                <w:sz w:val="20"/>
                <w:szCs w:val="20"/>
              </w:rPr>
              <w:drawing>
                <wp:inline distT="0" distB="0" distL="0" distR="0" wp14:anchorId="7EF883AB" wp14:editId="1EE02186">
                  <wp:extent cx="149584" cy="145834"/>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t xml:space="preserve"> </w:t>
            </w:r>
            <w:r w:rsidR="00D45D83" w:rsidRPr="00C109DB">
              <w:t>By 2030 eliminate harmful practices against women and girls especially child, early, and forced marriage, and FGM. (</w:t>
            </w:r>
            <w:r w:rsidR="00D45D83" w:rsidRPr="00C109DB">
              <w:rPr>
                <w:u w:val="single"/>
              </w:rPr>
              <w:t>PSIDS</w:t>
            </w:r>
            <w:r w:rsidR="00D45D83" w:rsidRPr="00C109DB">
              <w:t>)</w:t>
            </w:r>
          </w:p>
          <w:p w14:paraId="11A6D987" w14:textId="13FC4020" w:rsidR="0040498A" w:rsidRPr="00C109DB" w:rsidRDefault="00F57648" w:rsidP="0040498A">
            <w:pPr>
              <w:pStyle w:val="NoSpacing"/>
            </w:pPr>
            <w:r w:rsidRPr="00F171FB">
              <w:rPr>
                <w:rFonts w:cs="Menlo Regular"/>
                <w:noProof/>
                <w:color w:val="008000"/>
                <w:sz w:val="20"/>
                <w:szCs w:val="20"/>
              </w:rPr>
              <w:drawing>
                <wp:inline distT="0" distB="0" distL="0" distR="0" wp14:anchorId="16BC8700" wp14:editId="5993BE66">
                  <wp:extent cx="135935" cy="132347"/>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t xml:space="preserve"> </w:t>
            </w:r>
            <w:r w:rsidR="0040498A" w:rsidRPr="00C109DB">
              <w:t>By 2030, universalize the ending of all forms of violence against women and girls and provide necessary support services to victims of gender-based violence. (</w:t>
            </w:r>
            <w:r w:rsidR="0040498A" w:rsidRPr="00C109DB">
              <w:rPr>
                <w:u w:val="single"/>
              </w:rPr>
              <w:t>PSIDS</w:t>
            </w:r>
            <w:r w:rsidR="0040498A" w:rsidRPr="00C109DB">
              <w:t>)</w:t>
            </w:r>
          </w:p>
          <w:p w14:paraId="48F3C89D" w14:textId="46C6C67E" w:rsidR="0040498A" w:rsidRPr="00C109DB" w:rsidRDefault="00F57648" w:rsidP="0040498A">
            <w:pPr>
              <w:pStyle w:val="NoSpacing"/>
            </w:pPr>
            <w:r w:rsidRPr="00F171FB">
              <w:rPr>
                <w:b/>
                <w:noProof/>
                <w:color w:val="FF6600"/>
                <w:sz w:val="20"/>
                <w:szCs w:val="20"/>
              </w:rPr>
              <w:drawing>
                <wp:inline distT="0" distB="0" distL="0" distR="0" wp14:anchorId="52B9995A" wp14:editId="353CF9C6">
                  <wp:extent cx="149584" cy="145834"/>
                  <wp:effectExtent l="0" t="0" r="317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0040498A" w:rsidRPr="00C109DB">
              <w:t xml:space="preserve"> Tackle root causes of violence against women (</w:t>
            </w:r>
            <w:r w:rsidR="0040498A" w:rsidRPr="00C109DB">
              <w:rPr>
                <w:u w:val="single"/>
              </w:rPr>
              <w:t>APFSD</w:t>
            </w:r>
            <w:r w:rsidR="0040498A" w:rsidRPr="00C109DB">
              <w:t>)</w:t>
            </w:r>
          </w:p>
          <w:p w14:paraId="07F0FC08" w14:textId="450B05EA" w:rsidR="00F902C4" w:rsidRPr="00C109DB" w:rsidRDefault="00F57648" w:rsidP="00D45D83">
            <w:pPr>
              <w:pStyle w:val="NoSpacing"/>
            </w:pPr>
            <w:r w:rsidRPr="00F171FB">
              <w:rPr>
                <w:b/>
                <w:noProof/>
                <w:color w:val="FF6600"/>
                <w:sz w:val="20"/>
                <w:szCs w:val="20"/>
              </w:rPr>
              <w:drawing>
                <wp:inline distT="0" distB="0" distL="0" distR="0" wp14:anchorId="12D77087" wp14:editId="6E04B119">
                  <wp:extent cx="149584" cy="145834"/>
                  <wp:effectExtent l="0" t="0" r="317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t xml:space="preserve"> </w:t>
            </w:r>
            <w:r w:rsidR="00D45D83" w:rsidRPr="00C109DB">
              <w:t>By 2030 engage 50% of men and boys including community leaders as strategic partners and allies in combating all forms of discrimination and violence against women and girls. (</w:t>
            </w:r>
            <w:r w:rsidR="00D45D83" w:rsidRPr="00C109DB">
              <w:rPr>
                <w:u w:val="single"/>
              </w:rPr>
              <w:t>PSIDS</w:t>
            </w:r>
            <w:r w:rsidR="00D45D83" w:rsidRPr="00C109DB">
              <w:t>)</w:t>
            </w:r>
          </w:p>
          <w:p w14:paraId="74C0B7C5" w14:textId="68D7AB34" w:rsidR="009E1DAE" w:rsidRPr="00C109DB" w:rsidRDefault="00F57648" w:rsidP="007543B9">
            <w:pPr>
              <w:pStyle w:val="NoSpacing"/>
            </w:pPr>
            <w:r w:rsidRPr="00F171FB">
              <w:rPr>
                <w:rFonts w:cs="Menlo Regular"/>
                <w:noProof/>
                <w:color w:val="008000"/>
                <w:sz w:val="20"/>
                <w:szCs w:val="20"/>
              </w:rPr>
              <w:drawing>
                <wp:inline distT="0" distB="0" distL="0" distR="0" wp14:anchorId="4803235D" wp14:editId="3B709382">
                  <wp:extent cx="135935" cy="132347"/>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t xml:space="preserve"> </w:t>
            </w:r>
            <w:r w:rsidR="009E1DAE" w:rsidRPr="00C109DB">
              <w:t>By 2030 eliminate structural unequal power relationships between women and men to facilitate women’s equal participation in decision-making at all levels. (</w:t>
            </w:r>
            <w:r w:rsidR="0034056E" w:rsidRPr="00C109DB">
              <w:rPr>
                <w:u w:val="single"/>
              </w:rPr>
              <w:t>PSIDS</w:t>
            </w:r>
            <w:r w:rsidR="0034056E" w:rsidRPr="00C109DB">
              <w:t>)</w:t>
            </w:r>
          </w:p>
          <w:p w14:paraId="394A047F" w14:textId="038EBA19" w:rsidR="00311ACE" w:rsidRPr="00C109DB" w:rsidRDefault="00F57648" w:rsidP="007543B9">
            <w:pPr>
              <w:pStyle w:val="NoSpacing"/>
            </w:pPr>
            <w:r w:rsidRPr="00F171FB">
              <w:rPr>
                <w:b/>
                <w:noProof/>
                <w:color w:val="FF6600"/>
                <w:sz w:val="20"/>
                <w:szCs w:val="20"/>
              </w:rPr>
              <w:drawing>
                <wp:inline distT="0" distB="0" distL="0" distR="0" wp14:anchorId="67D73FA5" wp14:editId="47B19ADC">
                  <wp:extent cx="149584" cy="145834"/>
                  <wp:effectExtent l="0" t="0" r="317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t xml:space="preserve"> </w:t>
            </w:r>
            <w:r w:rsidR="00311ACE" w:rsidRPr="00C109DB">
              <w:t xml:space="preserve">Reduce and redistribute unpaid care and domestic work, done mostly by </w:t>
            </w:r>
            <w:r w:rsidR="00311ACE" w:rsidRPr="00C109DB">
              <w:lastRenderedPageBreak/>
              <w:t>women and migrant domestic workers. (</w:t>
            </w:r>
            <w:r w:rsidR="00311ACE" w:rsidRPr="00C109DB">
              <w:rPr>
                <w:u w:val="single"/>
              </w:rPr>
              <w:t>G77/China</w:t>
            </w:r>
            <w:r w:rsidR="00311ACE" w:rsidRPr="00C109DB">
              <w:t xml:space="preserve">) </w:t>
            </w:r>
          </w:p>
        </w:tc>
        <w:tc>
          <w:tcPr>
            <w:tcW w:w="4320" w:type="dxa"/>
          </w:tcPr>
          <w:p w14:paraId="679B5A8B" w14:textId="3515C3BE" w:rsidR="00F902C4" w:rsidRPr="00C109DB" w:rsidRDefault="00F57648" w:rsidP="00E67743">
            <w:pPr>
              <w:pStyle w:val="NoSpacing"/>
              <w:contextualSpacing/>
            </w:pPr>
            <w:r w:rsidRPr="00F171FB">
              <w:rPr>
                <w:rFonts w:cs="Menlo Regular"/>
                <w:noProof/>
                <w:color w:val="008000"/>
                <w:sz w:val="20"/>
                <w:szCs w:val="20"/>
              </w:rPr>
              <w:lastRenderedPageBreak/>
              <w:drawing>
                <wp:inline distT="0" distB="0" distL="0" distR="0" wp14:anchorId="1F032033" wp14:editId="55F705A4">
                  <wp:extent cx="135935" cy="13234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00F902C4" w:rsidRPr="00C109DB">
              <w:t xml:space="preserve"> End all forms of discrimination against all women and girls everywhere</w:t>
            </w:r>
            <w:r w:rsidR="0040498A">
              <w:t xml:space="preserve"> </w:t>
            </w:r>
            <w:r w:rsidR="0040498A" w:rsidRPr="00C109DB">
              <w:t>(</w:t>
            </w:r>
            <w:r w:rsidR="0040498A" w:rsidRPr="00C109DB">
              <w:rPr>
                <w:u w:val="single"/>
              </w:rPr>
              <w:t>OWG</w:t>
            </w:r>
            <w:r w:rsidR="0040498A" w:rsidRPr="00C109DB">
              <w:t>)</w:t>
            </w:r>
          </w:p>
          <w:p w14:paraId="4DED819A" w14:textId="1D3B1717" w:rsidR="00F902C4" w:rsidRPr="00C109DB" w:rsidRDefault="00F57648" w:rsidP="00E67743">
            <w:pPr>
              <w:pStyle w:val="NoSpacing"/>
              <w:contextualSpacing/>
            </w:pPr>
            <w:r w:rsidRPr="00F171FB">
              <w:rPr>
                <w:rFonts w:cs="Menlo Regular"/>
                <w:noProof/>
                <w:color w:val="008000"/>
                <w:sz w:val="20"/>
                <w:szCs w:val="20"/>
              </w:rPr>
              <w:drawing>
                <wp:inline distT="0" distB="0" distL="0" distR="0" wp14:anchorId="42D4E086" wp14:editId="7BB6572B">
                  <wp:extent cx="135935" cy="132347"/>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t xml:space="preserve"> </w:t>
            </w:r>
            <w:r w:rsidR="00F902C4" w:rsidRPr="00C109DB">
              <w:t>Eliminate all forms of violence against all women and girls in public and private spheres, including trafficking and sexual and other types of exploitation</w:t>
            </w:r>
            <w:r w:rsidR="0040498A">
              <w:t xml:space="preserve"> </w:t>
            </w:r>
            <w:r w:rsidR="0040498A" w:rsidRPr="00C109DB">
              <w:t>(</w:t>
            </w:r>
            <w:r w:rsidR="0040498A" w:rsidRPr="00C109DB">
              <w:rPr>
                <w:u w:val="single"/>
              </w:rPr>
              <w:t>OWG</w:t>
            </w:r>
            <w:r w:rsidR="0040498A" w:rsidRPr="00C109DB">
              <w:t>)</w:t>
            </w:r>
          </w:p>
          <w:p w14:paraId="2B91DB7F" w14:textId="50ABCD25" w:rsidR="00F902C4" w:rsidRPr="00C109DB" w:rsidRDefault="00F57648" w:rsidP="00E67743">
            <w:pPr>
              <w:pStyle w:val="NoSpacing"/>
              <w:contextualSpacing/>
            </w:pPr>
            <w:r w:rsidRPr="00F171FB">
              <w:rPr>
                <w:b/>
                <w:noProof/>
                <w:color w:val="FF6600"/>
                <w:sz w:val="20"/>
                <w:szCs w:val="20"/>
              </w:rPr>
              <w:drawing>
                <wp:inline distT="0" distB="0" distL="0" distR="0" wp14:anchorId="65E290EA" wp14:editId="3FDE5D3D">
                  <wp:extent cx="149584" cy="145834"/>
                  <wp:effectExtent l="0" t="0" r="317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t xml:space="preserve"> </w:t>
            </w:r>
            <w:r w:rsidR="00F902C4" w:rsidRPr="00C109DB">
              <w:t>Eliminate all harmful practices, such as child, early and forced marriage and female genital mutilations</w:t>
            </w:r>
            <w:r w:rsidR="0040498A">
              <w:t xml:space="preserve"> </w:t>
            </w:r>
            <w:r w:rsidR="0040498A" w:rsidRPr="00C109DB">
              <w:t>(</w:t>
            </w:r>
            <w:r w:rsidR="0040498A" w:rsidRPr="00C109DB">
              <w:rPr>
                <w:u w:val="single"/>
              </w:rPr>
              <w:t>OWG</w:t>
            </w:r>
            <w:r w:rsidR="0040498A" w:rsidRPr="00C109DB">
              <w:t>)</w:t>
            </w:r>
          </w:p>
          <w:p w14:paraId="159E55DB" w14:textId="5D6B8A02" w:rsidR="00F902C4" w:rsidRPr="00C109DB" w:rsidRDefault="00F57648" w:rsidP="00E67743">
            <w:pPr>
              <w:pStyle w:val="NoSpacing"/>
              <w:contextualSpacing/>
            </w:pPr>
            <w:r w:rsidRPr="00F171FB">
              <w:rPr>
                <w:b/>
                <w:noProof/>
                <w:color w:val="FF6600"/>
                <w:sz w:val="20"/>
                <w:szCs w:val="20"/>
              </w:rPr>
              <w:drawing>
                <wp:inline distT="0" distB="0" distL="0" distR="0" wp14:anchorId="4F64DE1A" wp14:editId="6BA96A9A">
                  <wp:extent cx="149584" cy="145834"/>
                  <wp:effectExtent l="0" t="0" r="317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t xml:space="preserve"> </w:t>
            </w:r>
            <w:r w:rsidR="00F902C4" w:rsidRPr="00C109DB">
              <w:t xml:space="preserve">Ensure universal access to sexual and reproductive health and reproductive rights as agreed in accordance with the </w:t>
            </w:r>
            <w:proofErr w:type="spellStart"/>
            <w:r w:rsidR="00F902C4" w:rsidRPr="00C109DB">
              <w:t>Programme</w:t>
            </w:r>
            <w:proofErr w:type="spellEnd"/>
            <w:r w:rsidR="00F902C4" w:rsidRPr="00C109DB">
              <w:t xml:space="preserve"> of Action of the ICPD and the Beijing Platform for Action and the outcome documents of their review conferences (</w:t>
            </w:r>
            <w:r w:rsidR="00F902C4" w:rsidRPr="00C109DB">
              <w:rPr>
                <w:u w:val="single"/>
              </w:rPr>
              <w:t>OWG</w:t>
            </w:r>
            <w:r w:rsidR="00F902C4" w:rsidRPr="00C109DB">
              <w:t>)</w:t>
            </w:r>
          </w:p>
        </w:tc>
      </w:tr>
      <w:tr w:rsidR="00F902C4" w:rsidRPr="00C109DB" w14:paraId="65EDC8F2" w14:textId="77777777" w:rsidTr="00163E58">
        <w:tc>
          <w:tcPr>
            <w:tcW w:w="1350" w:type="dxa"/>
          </w:tcPr>
          <w:p w14:paraId="059816BF" w14:textId="4BB1F148" w:rsidR="00F902C4" w:rsidRPr="00C109DB" w:rsidRDefault="00F902C4" w:rsidP="00732852">
            <w:pPr>
              <w:pStyle w:val="NoSpacing"/>
              <w:contextualSpacing/>
              <w:rPr>
                <w:b/>
              </w:rPr>
            </w:pPr>
            <w:r w:rsidRPr="00C109DB">
              <w:rPr>
                <w:b/>
              </w:rPr>
              <w:t xml:space="preserve">Climate </w:t>
            </w:r>
            <w:r w:rsidR="00732852" w:rsidRPr="00C109DB">
              <w:rPr>
                <w:b/>
              </w:rPr>
              <w:t>Change</w:t>
            </w:r>
          </w:p>
        </w:tc>
        <w:tc>
          <w:tcPr>
            <w:tcW w:w="3870" w:type="dxa"/>
          </w:tcPr>
          <w:p w14:paraId="1E50B883" w14:textId="5EB1F093" w:rsidR="00D109F2" w:rsidRPr="00C109DB" w:rsidRDefault="00A804FB" w:rsidP="00D109F2">
            <w:pPr>
              <w:widowControl w:val="0"/>
              <w:autoSpaceDE w:val="0"/>
              <w:autoSpaceDN w:val="0"/>
              <w:adjustRightInd w:val="0"/>
              <w:spacing w:after="37" w:line="240" w:lineRule="auto"/>
              <w:rPr>
                <w:rFonts w:eastAsiaTheme="minorEastAsia" w:cs="Arial"/>
                <w:color w:val="000000"/>
              </w:rPr>
            </w:pPr>
            <w:r w:rsidRPr="00F171FB">
              <w:rPr>
                <w:rFonts w:cs="Menlo Regular"/>
                <w:noProof/>
                <w:color w:val="008000"/>
                <w:sz w:val="20"/>
                <w:szCs w:val="20"/>
              </w:rPr>
              <w:drawing>
                <wp:inline distT="0" distB="0" distL="0" distR="0" wp14:anchorId="6B671D14" wp14:editId="6DD374C2">
                  <wp:extent cx="135935" cy="132347"/>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00D109F2" w:rsidRPr="00C109DB">
              <w:rPr>
                <w:rFonts w:eastAsiaTheme="minorEastAsia" w:cs="Arial"/>
                <w:color w:val="000000"/>
              </w:rPr>
              <w:t xml:space="preserve"> Close the pre-2020 mitigation gap to put the world on a path of achieving a goal of stabilizing temperature increase to below 1.5 degrees Celsius. (</w:t>
            </w:r>
            <w:r w:rsidR="00D109F2" w:rsidRPr="00C109DB">
              <w:rPr>
                <w:rFonts w:eastAsiaTheme="minorEastAsia" w:cs="Arial"/>
                <w:color w:val="000000"/>
                <w:u w:val="single"/>
              </w:rPr>
              <w:t>PSIDS</w:t>
            </w:r>
            <w:r w:rsidR="00D109F2" w:rsidRPr="00C109DB">
              <w:rPr>
                <w:rFonts w:eastAsiaTheme="minorEastAsia" w:cs="Arial"/>
                <w:color w:val="000000"/>
              </w:rPr>
              <w:t xml:space="preserve">, </w:t>
            </w:r>
            <w:r w:rsidR="00D109F2" w:rsidRPr="00C109DB">
              <w:rPr>
                <w:rFonts w:eastAsiaTheme="minorEastAsia" w:cs="Arial"/>
                <w:color w:val="000000"/>
                <w:u w:val="single"/>
              </w:rPr>
              <w:t>AOSIS</w:t>
            </w:r>
            <w:r w:rsidR="00D109F2" w:rsidRPr="00C109DB">
              <w:rPr>
                <w:rFonts w:eastAsiaTheme="minorEastAsia" w:cs="Arial"/>
                <w:color w:val="000000"/>
              </w:rPr>
              <w:t xml:space="preserve">, </w:t>
            </w:r>
            <w:r w:rsidR="00D109F2" w:rsidRPr="00C109DB">
              <w:rPr>
                <w:rFonts w:eastAsiaTheme="minorEastAsia" w:cs="Arial"/>
                <w:color w:val="000000"/>
                <w:u w:val="single"/>
              </w:rPr>
              <w:t>LDCs</w:t>
            </w:r>
            <w:r w:rsidR="00D109F2" w:rsidRPr="00C109DB">
              <w:rPr>
                <w:rFonts w:eastAsiaTheme="minorEastAsia" w:cs="Arial"/>
                <w:color w:val="000000"/>
              </w:rPr>
              <w:t>)</w:t>
            </w:r>
          </w:p>
          <w:p w14:paraId="19C33A68" w14:textId="5F072A95" w:rsidR="00D109F2" w:rsidRPr="00C109DB" w:rsidRDefault="00A804FB" w:rsidP="00D109F2">
            <w:pPr>
              <w:pStyle w:val="NoSpacing"/>
              <w:widowControl w:val="0"/>
              <w:autoSpaceDE w:val="0"/>
              <w:autoSpaceDN w:val="0"/>
              <w:adjustRightInd w:val="0"/>
              <w:spacing w:after="37"/>
              <w:rPr>
                <w:rFonts w:eastAsiaTheme="minorEastAsia" w:cs="Arial"/>
                <w:color w:val="000000"/>
              </w:rPr>
            </w:pPr>
            <w:r w:rsidRPr="00F171FB">
              <w:rPr>
                <w:rFonts w:cs="Menlo Regular"/>
                <w:noProof/>
                <w:color w:val="008000"/>
                <w:sz w:val="20"/>
                <w:szCs w:val="20"/>
              </w:rPr>
              <w:drawing>
                <wp:inline distT="0" distB="0" distL="0" distR="0" wp14:anchorId="0FF82884" wp14:editId="3E36FFFC">
                  <wp:extent cx="135935" cy="132347"/>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Pr>
                <w:rFonts w:eastAsiaTheme="minorEastAsia" w:cs="Arial"/>
                <w:color w:val="000000"/>
              </w:rPr>
              <w:t xml:space="preserve"> </w:t>
            </w:r>
            <w:r w:rsidR="00D109F2" w:rsidRPr="00C109DB">
              <w:rPr>
                <w:rFonts w:eastAsiaTheme="minorEastAsia" w:cs="Arial"/>
                <w:color w:val="000000"/>
              </w:rPr>
              <w:t>Build resilience and adaptive capacity against the adverse impact of climate change and natural disaster in all countries, particularly the vulnerable countries. (</w:t>
            </w:r>
            <w:r w:rsidR="00D109F2" w:rsidRPr="00C109DB">
              <w:rPr>
                <w:rFonts w:eastAsiaTheme="minorEastAsia" w:cs="Arial"/>
                <w:color w:val="000000"/>
                <w:u w:val="single"/>
              </w:rPr>
              <w:t>AOSIS</w:t>
            </w:r>
            <w:r w:rsidR="00D109F2" w:rsidRPr="00C109DB">
              <w:rPr>
                <w:rFonts w:eastAsiaTheme="minorEastAsia" w:cs="Arial"/>
                <w:color w:val="000000"/>
              </w:rPr>
              <w:t>)</w:t>
            </w:r>
          </w:p>
          <w:p w14:paraId="49FD1CC2" w14:textId="59081AC2" w:rsidR="00D109F2" w:rsidRDefault="00A804FB" w:rsidP="00D109F2">
            <w:pPr>
              <w:pStyle w:val="NoSpacing"/>
              <w:rPr>
                <w:rFonts w:eastAsiaTheme="minorEastAsia" w:cs="Arial"/>
                <w:color w:val="000000"/>
              </w:rPr>
            </w:pPr>
            <w:r w:rsidRPr="00F171FB">
              <w:rPr>
                <w:b/>
                <w:noProof/>
                <w:color w:val="FF6600"/>
                <w:sz w:val="20"/>
                <w:szCs w:val="20"/>
              </w:rPr>
              <w:drawing>
                <wp:inline distT="0" distB="0" distL="0" distR="0" wp14:anchorId="241D4868" wp14:editId="126F75D5">
                  <wp:extent cx="149584" cy="145834"/>
                  <wp:effectExtent l="0" t="0" r="3175"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Pr>
                <w:rFonts w:eastAsiaTheme="minorEastAsia" w:cs="Arial"/>
                <w:color w:val="000000"/>
              </w:rPr>
              <w:t xml:space="preserve"> </w:t>
            </w:r>
            <w:r w:rsidR="00D109F2" w:rsidRPr="00C109DB">
              <w:rPr>
                <w:rFonts w:eastAsiaTheme="minorEastAsia" w:cs="Arial"/>
                <w:color w:val="000000"/>
              </w:rPr>
              <w:t>Address loss and damage experienced by developing countries disproportionately impacted by global greenhouse gas emissions, with appropriate international support. (</w:t>
            </w:r>
            <w:r w:rsidR="00D109F2" w:rsidRPr="00C109DB">
              <w:rPr>
                <w:rFonts w:eastAsiaTheme="minorEastAsia" w:cs="Arial"/>
                <w:color w:val="000000"/>
                <w:u w:val="single"/>
              </w:rPr>
              <w:t>PSIDS</w:t>
            </w:r>
            <w:r w:rsidR="00D109F2" w:rsidRPr="00C109DB">
              <w:rPr>
                <w:rFonts w:eastAsiaTheme="minorEastAsia" w:cs="Arial"/>
                <w:color w:val="000000"/>
              </w:rPr>
              <w:t>)</w:t>
            </w:r>
          </w:p>
          <w:p w14:paraId="1A234ECA" w14:textId="446A16C1" w:rsidR="001E0130" w:rsidRPr="00C109DB" w:rsidRDefault="00A804FB" w:rsidP="00D109F2">
            <w:pPr>
              <w:pStyle w:val="NoSpacing"/>
            </w:pPr>
            <w:r w:rsidRPr="00F171FB">
              <w:rPr>
                <w:rFonts w:cs="Menlo Regular"/>
                <w:noProof/>
                <w:color w:val="008000"/>
                <w:sz w:val="20"/>
                <w:szCs w:val="20"/>
              </w:rPr>
              <w:drawing>
                <wp:inline distT="0" distB="0" distL="0" distR="0" wp14:anchorId="5178AA87" wp14:editId="1D32E439">
                  <wp:extent cx="135935" cy="132347"/>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t xml:space="preserve"> </w:t>
            </w:r>
            <w:r w:rsidR="0040498A" w:rsidRPr="00C109DB">
              <w:t>Developed countries should fulfill their commitments under the second period of the Kyoto Protocol; developed countries not part of this should make comparable quantified commitments of mitigation. (</w:t>
            </w:r>
            <w:r w:rsidR="0040498A" w:rsidRPr="00C109DB">
              <w:rPr>
                <w:u w:val="single"/>
              </w:rPr>
              <w:t>G77/China</w:t>
            </w:r>
            <w:r w:rsidR="0040498A" w:rsidRPr="00C109DB">
              <w:t xml:space="preserve">) </w:t>
            </w:r>
            <w:r w:rsidR="001E0130" w:rsidRPr="00C109DB">
              <w:t xml:space="preserve"> </w:t>
            </w:r>
          </w:p>
          <w:p w14:paraId="5A1B1FA6" w14:textId="1F61C21C" w:rsidR="00DB3F51" w:rsidRPr="00C109DB" w:rsidRDefault="00A804FB" w:rsidP="00DB3F51">
            <w:pPr>
              <w:pStyle w:val="NoSpacing"/>
            </w:pPr>
            <w:r w:rsidRPr="00F171FB">
              <w:rPr>
                <w:rFonts w:cs="Menlo Regular"/>
                <w:noProof/>
                <w:color w:val="008000"/>
                <w:sz w:val="20"/>
                <w:szCs w:val="20"/>
              </w:rPr>
              <w:drawing>
                <wp:inline distT="0" distB="0" distL="0" distR="0" wp14:anchorId="04606AE4" wp14:editId="01F16195">
                  <wp:extent cx="135935" cy="132347"/>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00DB3F51" w:rsidRPr="00C109DB">
              <w:rPr>
                <w:b/>
              </w:rPr>
              <w:t xml:space="preserve"> </w:t>
            </w:r>
            <w:r w:rsidR="00DB3F51" w:rsidRPr="00C109DB">
              <w:t>Introduce appropriate instruments and incentives to eliminate investment in fossil fuels while increasing investments in low carbon solutions in infrastructure, industry, agriculture, transport, energy, and all economic sectors.  (</w:t>
            </w:r>
            <w:r w:rsidR="00DB3F51" w:rsidRPr="00C109DB">
              <w:rPr>
                <w:u w:val="single"/>
              </w:rPr>
              <w:t>PSIDS</w:t>
            </w:r>
            <w:r w:rsidR="00DB3F51" w:rsidRPr="00C109DB">
              <w:t xml:space="preserve">, </w:t>
            </w:r>
            <w:r w:rsidR="00DB3F51" w:rsidRPr="00C109DB">
              <w:rPr>
                <w:u w:val="single"/>
              </w:rPr>
              <w:t>AOSIS</w:t>
            </w:r>
            <w:r w:rsidR="00DB3F51" w:rsidRPr="00C109DB">
              <w:t>)</w:t>
            </w:r>
          </w:p>
          <w:p w14:paraId="36AD5728" w14:textId="487DD492" w:rsidR="00604C05" w:rsidRPr="00D109F2" w:rsidRDefault="00DB3F51" w:rsidP="00604C05">
            <w:pPr>
              <w:widowControl w:val="0"/>
              <w:autoSpaceDE w:val="0"/>
              <w:autoSpaceDN w:val="0"/>
              <w:adjustRightInd w:val="0"/>
              <w:spacing w:after="0" w:line="240" w:lineRule="auto"/>
            </w:pPr>
            <w:r w:rsidRPr="00C109DB">
              <w:rPr>
                <w:rFonts w:eastAsiaTheme="minorEastAsia" w:cs="Arial"/>
                <w:color w:val="000000"/>
              </w:rPr>
              <w:t>- Increase the rate of investment in environmentally friendly industries, and infrastructure that strengthens the resilience and security of all countries, particularly the most vulnerable including SIDS, against the adverse impact of climate change and natural disasters. (</w:t>
            </w:r>
            <w:r w:rsidRPr="00C109DB">
              <w:rPr>
                <w:u w:val="single"/>
              </w:rPr>
              <w:t>Solomon Islands</w:t>
            </w:r>
            <w:r w:rsidRPr="00C109DB">
              <w:t>)</w:t>
            </w:r>
          </w:p>
        </w:tc>
        <w:tc>
          <w:tcPr>
            <w:tcW w:w="4320" w:type="dxa"/>
          </w:tcPr>
          <w:p w14:paraId="57C453DD" w14:textId="52AB4C29" w:rsidR="00340C87" w:rsidRPr="00340C87" w:rsidRDefault="00A804FB" w:rsidP="00340C87">
            <w:pPr>
              <w:pStyle w:val="NoSpacing"/>
              <w:contextualSpacing/>
            </w:pPr>
            <w:r w:rsidRPr="00F171FB">
              <w:rPr>
                <w:b/>
                <w:noProof/>
                <w:color w:val="FF6600"/>
                <w:sz w:val="20"/>
                <w:szCs w:val="20"/>
              </w:rPr>
              <w:drawing>
                <wp:inline distT="0" distB="0" distL="0" distR="0" wp14:anchorId="654F24E5" wp14:editId="28474EEB">
                  <wp:extent cx="149584" cy="145834"/>
                  <wp:effectExtent l="0" t="0" r="317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t xml:space="preserve"> </w:t>
            </w:r>
            <w:r w:rsidR="00340C87">
              <w:t>S</w:t>
            </w:r>
            <w:r w:rsidR="00340C87" w:rsidRPr="00340C87">
              <w:t>trengthen resilience and adaptive capacity to climate related hazards and natural disasters in all countries</w:t>
            </w:r>
            <w:r w:rsidR="00340C87">
              <w:t xml:space="preserve"> (</w:t>
            </w:r>
            <w:r w:rsidR="00340C87" w:rsidRPr="00340C87">
              <w:rPr>
                <w:u w:val="single"/>
              </w:rPr>
              <w:t>OWG</w:t>
            </w:r>
            <w:r w:rsidR="00340C87">
              <w:t>)</w:t>
            </w:r>
          </w:p>
          <w:p w14:paraId="21D22AE4" w14:textId="579A21BE" w:rsidR="00340C87" w:rsidRPr="00340C87" w:rsidRDefault="00A804FB" w:rsidP="00340C87">
            <w:pPr>
              <w:pStyle w:val="NoSpacing"/>
              <w:contextualSpacing/>
            </w:pPr>
            <w:r w:rsidRPr="00F171FB">
              <w:rPr>
                <w:b/>
                <w:noProof/>
                <w:color w:val="FF6600"/>
                <w:sz w:val="20"/>
                <w:szCs w:val="20"/>
              </w:rPr>
              <w:drawing>
                <wp:inline distT="0" distB="0" distL="0" distR="0" wp14:anchorId="4F0D5675" wp14:editId="4DBA9793">
                  <wp:extent cx="149584" cy="145834"/>
                  <wp:effectExtent l="0" t="0" r="317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00340C87">
              <w:t xml:space="preserve"> I</w:t>
            </w:r>
            <w:r w:rsidR="00340C87" w:rsidRPr="00340C87">
              <w:t>ntegrate climate change measures into national policies, strategies, and planning</w:t>
            </w:r>
            <w:r w:rsidR="00340C87">
              <w:t xml:space="preserve"> (</w:t>
            </w:r>
            <w:r w:rsidR="00340C87" w:rsidRPr="00340C87">
              <w:rPr>
                <w:u w:val="single"/>
              </w:rPr>
              <w:t>OWG</w:t>
            </w:r>
            <w:r w:rsidR="00340C87">
              <w:t>)</w:t>
            </w:r>
          </w:p>
          <w:p w14:paraId="16C42BFF" w14:textId="193704C3" w:rsidR="00340C87" w:rsidRPr="00340C87" w:rsidRDefault="00A804FB" w:rsidP="00340C87">
            <w:pPr>
              <w:pStyle w:val="NoSpacing"/>
              <w:contextualSpacing/>
            </w:pPr>
            <w:r w:rsidRPr="00F171FB">
              <w:rPr>
                <w:b/>
                <w:noProof/>
                <w:color w:val="FF6600"/>
                <w:sz w:val="20"/>
                <w:szCs w:val="20"/>
              </w:rPr>
              <w:drawing>
                <wp:inline distT="0" distB="0" distL="0" distR="0" wp14:anchorId="6EBE7598" wp14:editId="1BB2305F">
                  <wp:extent cx="149584" cy="145834"/>
                  <wp:effectExtent l="0" t="0" r="3175"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00340C87">
              <w:t xml:space="preserve"> I</w:t>
            </w:r>
            <w:r w:rsidR="00340C87" w:rsidRPr="00340C87">
              <w:t>mprove education, awareness raising and human and institutional capacity on climate change mitigation, adaptation, impact reduction, and early warning</w:t>
            </w:r>
            <w:r w:rsidR="00340C87">
              <w:t xml:space="preserve"> (</w:t>
            </w:r>
            <w:r w:rsidR="00340C87" w:rsidRPr="00340C87">
              <w:rPr>
                <w:u w:val="single"/>
              </w:rPr>
              <w:t>OWG</w:t>
            </w:r>
            <w:r w:rsidR="00340C87">
              <w:t>)</w:t>
            </w:r>
          </w:p>
          <w:p w14:paraId="32F57518" w14:textId="5C533363" w:rsidR="00F902C4" w:rsidRDefault="00A804FB" w:rsidP="00E67743">
            <w:pPr>
              <w:pStyle w:val="NoSpacing"/>
              <w:contextualSpacing/>
            </w:pPr>
            <w:r w:rsidRPr="00F171FB">
              <w:rPr>
                <w:rFonts w:cs="Menlo Regular"/>
                <w:noProof/>
                <w:color w:val="008000"/>
                <w:sz w:val="20"/>
                <w:szCs w:val="20"/>
              </w:rPr>
              <w:drawing>
                <wp:inline distT="0" distB="0" distL="0" distR="0" wp14:anchorId="7EE740F9" wp14:editId="08B484F9">
                  <wp:extent cx="135935" cy="132347"/>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00F902C4" w:rsidRPr="00C109DB">
              <w:t xml:space="preserve"> Implement the commitment undertaken by developed country Parties to the UNFCCC to a goal of mobilizing jointly USD100 billion annually by 2020 from all sources to address the needs of developing countries in the context of meaningful mitigation actions and transparency on implementation and fully operationalize the Green Climate Fund through its capitalization as soon as possible. (</w:t>
            </w:r>
            <w:r w:rsidR="00F902C4" w:rsidRPr="00C109DB">
              <w:rPr>
                <w:u w:val="single"/>
              </w:rPr>
              <w:t>OWG</w:t>
            </w:r>
            <w:r w:rsidR="00F902C4" w:rsidRPr="00C109DB">
              <w:t>)</w:t>
            </w:r>
          </w:p>
          <w:p w14:paraId="7A723379" w14:textId="56C40A21" w:rsidR="00340C87" w:rsidRPr="00C109DB" w:rsidRDefault="00A804FB" w:rsidP="00E67743">
            <w:pPr>
              <w:pStyle w:val="NoSpacing"/>
              <w:contextualSpacing/>
            </w:pPr>
            <w:r w:rsidRPr="00F171FB">
              <w:rPr>
                <w:b/>
                <w:noProof/>
                <w:color w:val="FF6600"/>
                <w:sz w:val="20"/>
                <w:szCs w:val="20"/>
              </w:rPr>
              <w:drawing>
                <wp:inline distT="0" distB="0" distL="0" distR="0" wp14:anchorId="42EE3866" wp14:editId="47F6811D">
                  <wp:extent cx="149584" cy="145834"/>
                  <wp:effectExtent l="0" t="0" r="3175"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t xml:space="preserve"> </w:t>
            </w:r>
            <w:r w:rsidR="00340C87" w:rsidRPr="00340C87">
              <w:t>Promote mechanisms for raising capacities for effective climate change related planning and management, in LDCs, including focusing on women, youth, local and marginalized communities</w:t>
            </w:r>
            <w:r w:rsidR="00340C87">
              <w:t xml:space="preserve"> </w:t>
            </w:r>
            <w:r w:rsidR="00340C87" w:rsidRPr="00C109DB">
              <w:t>(</w:t>
            </w:r>
            <w:r w:rsidR="00340C87" w:rsidRPr="00C109DB">
              <w:rPr>
                <w:u w:val="single"/>
              </w:rPr>
              <w:t>OWG</w:t>
            </w:r>
            <w:r w:rsidR="00340C87" w:rsidRPr="00C109DB">
              <w:t>)</w:t>
            </w:r>
          </w:p>
          <w:p w14:paraId="0D99F236" w14:textId="667D8AE6" w:rsidR="00F902C4" w:rsidRPr="00C109DB" w:rsidRDefault="00A804FB" w:rsidP="00E67743">
            <w:pPr>
              <w:pStyle w:val="NoSpacing"/>
              <w:contextualSpacing/>
            </w:pPr>
            <w:r w:rsidRPr="00F171FB">
              <w:rPr>
                <w:b/>
                <w:noProof/>
                <w:color w:val="FF6600"/>
                <w:sz w:val="20"/>
                <w:szCs w:val="20"/>
              </w:rPr>
              <w:drawing>
                <wp:inline distT="0" distB="0" distL="0" distR="0" wp14:anchorId="79469A47" wp14:editId="2499983F">
                  <wp:extent cx="149584" cy="145834"/>
                  <wp:effectExtent l="0" t="0" r="3175"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00F902C4" w:rsidRPr="00C109DB">
              <w:t xml:space="preserve"> A significant share of new multilateral funding for climate change adaptation should flow through the Green Climate Fund, as agreed at UNFCCC COP 16. (</w:t>
            </w:r>
            <w:r w:rsidR="00F902C4" w:rsidRPr="00C109DB">
              <w:rPr>
                <w:u w:val="single"/>
              </w:rPr>
              <w:t>ICESDF</w:t>
            </w:r>
            <w:r w:rsidR="00F902C4" w:rsidRPr="00C109DB">
              <w:t>)</w:t>
            </w:r>
          </w:p>
        </w:tc>
      </w:tr>
      <w:tr w:rsidR="00F902C4" w:rsidRPr="00C109DB" w14:paraId="67B8C0ED" w14:textId="77777777" w:rsidTr="00163E58">
        <w:tc>
          <w:tcPr>
            <w:tcW w:w="1350" w:type="dxa"/>
          </w:tcPr>
          <w:p w14:paraId="6E42E91E" w14:textId="7AA02487" w:rsidR="00F902C4" w:rsidRPr="00C109DB" w:rsidRDefault="00930A79" w:rsidP="00E67743">
            <w:pPr>
              <w:pStyle w:val="NoSpacing"/>
              <w:contextualSpacing/>
              <w:rPr>
                <w:b/>
              </w:rPr>
            </w:pPr>
            <w:r w:rsidRPr="00C109DB">
              <w:rPr>
                <w:b/>
              </w:rPr>
              <w:t>Disaster Risk Reduction</w:t>
            </w:r>
          </w:p>
        </w:tc>
        <w:tc>
          <w:tcPr>
            <w:tcW w:w="3870" w:type="dxa"/>
          </w:tcPr>
          <w:p w14:paraId="09D3E529" w14:textId="5070D9AB" w:rsidR="00D50B1B" w:rsidRPr="00C109DB" w:rsidRDefault="00D50B1B" w:rsidP="00D50B1B">
            <w:pPr>
              <w:pStyle w:val="NoSpacing"/>
            </w:pPr>
            <w:r w:rsidRPr="00C109DB">
              <w:rPr>
                <w:b/>
              </w:rPr>
              <w:t xml:space="preserve">- </w:t>
            </w:r>
            <w:r w:rsidRPr="00C109DB">
              <w:t xml:space="preserve">Resilience must be addressed for all, with a special emphasis on the poor, most vulnerable and marginalized.  </w:t>
            </w:r>
            <w:r w:rsidRPr="00C109DB">
              <w:rPr>
                <w:rFonts w:eastAsiaTheme="minorEastAsia" w:cs="Arial"/>
                <w:color w:val="000000"/>
              </w:rPr>
              <w:t>(</w:t>
            </w:r>
            <w:r w:rsidRPr="00C109DB">
              <w:rPr>
                <w:rFonts w:eastAsiaTheme="minorEastAsia" w:cs="Arial"/>
                <w:color w:val="000000"/>
                <w:u w:val="single"/>
              </w:rPr>
              <w:t>PSIDS</w:t>
            </w:r>
            <w:r w:rsidRPr="00C109DB">
              <w:rPr>
                <w:rFonts w:eastAsiaTheme="minorEastAsia" w:cs="Arial"/>
                <w:color w:val="000000"/>
              </w:rPr>
              <w:t>)</w:t>
            </w:r>
          </w:p>
          <w:p w14:paraId="210B0CA2" w14:textId="3CCAD30F" w:rsidR="00D50B1B" w:rsidRPr="00C109DB" w:rsidRDefault="00A804FB" w:rsidP="00D50B1B">
            <w:pPr>
              <w:widowControl w:val="0"/>
              <w:autoSpaceDE w:val="0"/>
              <w:autoSpaceDN w:val="0"/>
              <w:adjustRightInd w:val="0"/>
              <w:spacing w:after="0" w:line="240" w:lineRule="auto"/>
              <w:rPr>
                <w:rFonts w:eastAsiaTheme="minorEastAsia" w:cs="Arial"/>
                <w:color w:val="000000"/>
              </w:rPr>
            </w:pPr>
            <w:r w:rsidRPr="00F171FB">
              <w:rPr>
                <w:rFonts w:cs="Menlo Regular"/>
                <w:noProof/>
                <w:color w:val="008000"/>
                <w:sz w:val="20"/>
                <w:szCs w:val="20"/>
              </w:rPr>
              <w:drawing>
                <wp:inline distT="0" distB="0" distL="0" distR="0" wp14:anchorId="337C7793" wp14:editId="490415F2">
                  <wp:extent cx="135935" cy="132347"/>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t xml:space="preserve"> </w:t>
            </w:r>
            <w:r w:rsidR="00D50B1B" w:rsidRPr="00C109DB">
              <w:t>Adopt measures necessary to enhance ocean resiliency in accordance with best available scientific information.</w:t>
            </w:r>
            <w:r w:rsidR="00D50B1B" w:rsidRPr="00C109DB">
              <w:rPr>
                <w:rFonts w:eastAsiaTheme="minorEastAsia" w:cs="Arial"/>
                <w:color w:val="000000"/>
              </w:rPr>
              <w:t xml:space="preserve"> (</w:t>
            </w:r>
            <w:r w:rsidR="00D50B1B" w:rsidRPr="00C109DB">
              <w:rPr>
                <w:rFonts w:eastAsiaTheme="minorEastAsia" w:cs="Arial"/>
                <w:color w:val="000000"/>
                <w:u w:val="single"/>
              </w:rPr>
              <w:t>PSIDS</w:t>
            </w:r>
            <w:r w:rsidR="00D50B1B" w:rsidRPr="00C109DB">
              <w:rPr>
                <w:rFonts w:eastAsiaTheme="minorEastAsia" w:cs="Arial"/>
                <w:color w:val="000000"/>
              </w:rPr>
              <w:t>)</w:t>
            </w:r>
          </w:p>
          <w:p w14:paraId="3FF0690F" w14:textId="66FBC8C3" w:rsidR="00D50B1B" w:rsidRPr="00C109DB" w:rsidRDefault="00D50B1B" w:rsidP="00D50B1B">
            <w:pPr>
              <w:widowControl w:val="0"/>
              <w:autoSpaceDE w:val="0"/>
              <w:autoSpaceDN w:val="0"/>
              <w:adjustRightInd w:val="0"/>
              <w:spacing w:after="37" w:line="240" w:lineRule="auto"/>
              <w:rPr>
                <w:rFonts w:eastAsiaTheme="minorEastAsia" w:cs="Arial"/>
                <w:color w:val="000000"/>
              </w:rPr>
            </w:pPr>
            <w:r w:rsidRPr="00C109DB">
              <w:rPr>
                <w:rFonts w:eastAsiaTheme="minorEastAsia" w:cs="Arial"/>
                <w:color w:val="000000"/>
              </w:rPr>
              <w:t xml:space="preserve">- Protect marine and terrestrial carbon sink and coral reefs to ensure their </w:t>
            </w:r>
            <w:r w:rsidRPr="00C109DB">
              <w:rPr>
                <w:rFonts w:eastAsiaTheme="minorEastAsia" w:cs="Arial"/>
                <w:color w:val="000000"/>
              </w:rPr>
              <w:lastRenderedPageBreak/>
              <w:t>climate and disaster reduction roles. (</w:t>
            </w:r>
            <w:r w:rsidRPr="00C109DB">
              <w:rPr>
                <w:rFonts w:eastAsiaTheme="minorEastAsia" w:cs="Arial"/>
                <w:color w:val="000000"/>
                <w:u w:val="single"/>
              </w:rPr>
              <w:t>AOSIS</w:t>
            </w:r>
            <w:r w:rsidRPr="00C109DB">
              <w:rPr>
                <w:rFonts w:eastAsiaTheme="minorEastAsia" w:cs="Arial"/>
                <w:color w:val="000000"/>
              </w:rPr>
              <w:t>)</w:t>
            </w:r>
          </w:p>
          <w:p w14:paraId="04FB45DC" w14:textId="663CC92B" w:rsidR="00D50B1B" w:rsidRPr="00C109DB" w:rsidRDefault="00D50B1B" w:rsidP="00D50B1B">
            <w:pPr>
              <w:widowControl w:val="0"/>
              <w:autoSpaceDE w:val="0"/>
              <w:autoSpaceDN w:val="0"/>
              <w:adjustRightInd w:val="0"/>
              <w:spacing w:after="37" w:line="240" w:lineRule="auto"/>
            </w:pPr>
            <w:r w:rsidRPr="00C109DB">
              <w:rPr>
                <w:rFonts w:eastAsiaTheme="minorEastAsia" w:cs="Arial"/>
                <w:color w:val="000000"/>
              </w:rPr>
              <w:t xml:space="preserve">- Regional priorities include: </w:t>
            </w:r>
            <w:r w:rsidRPr="00C109DB">
              <w:t>Disaster risk reduction and preparedness; building resilience to natural disasters (not being sufficiently addressed in OWG on SDGs) (</w:t>
            </w:r>
            <w:r w:rsidRPr="00C109DB">
              <w:rPr>
                <w:u w:val="single"/>
              </w:rPr>
              <w:t>APFSD</w:t>
            </w:r>
            <w:r w:rsidRPr="00C109DB">
              <w:t>)</w:t>
            </w:r>
          </w:p>
          <w:p w14:paraId="17F611BF" w14:textId="55931D53" w:rsidR="00F902C4" w:rsidRPr="00C109DB" w:rsidRDefault="00A804FB" w:rsidP="00D50B1B">
            <w:pPr>
              <w:widowControl w:val="0"/>
              <w:autoSpaceDE w:val="0"/>
              <w:autoSpaceDN w:val="0"/>
              <w:adjustRightInd w:val="0"/>
              <w:spacing w:after="37" w:line="240" w:lineRule="auto"/>
            </w:pPr>
            <w:r w:rsidRPr="00F171FB">
              <w:rPr>
                <w:rFonts w:cs="Menlo Regular"/>
                <w:noProof/>
                <w:color w:val="008000"/>
                <w:sz w:val="20"/>
                <w:szCs w:val="20"/>
              </w:rPr>
              <w:drawing>
                <wp:inline distT="0" distB="0" distL="0" distR="0" wp14:anchorId="2E05A452" wp14:editId="297DAE44">
                  <wp:extent cx="135935" cy="132347"/>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t xml:space="preserve"> </w:t>
            </w:r>
            <w:r w:rsidR="00D50B1B" w:rsidRPr="00C109DB">
              <w:t>Need to include Disaster Risk Reduction in post-2015, targeted global response to build resilience against the loss of human life and their personal property, and the hard-fought economic, social and ecological gains of every country. (</w:t>
            </w:r>
            <w:r w:rsidR="00D50B1B" w:rsidRPr="00C109DB">
              <w:rPr>
                <w:u w:val="single"/>
              </w:rPr>
              <w:t>Fiji</w:t>
            </w:r>
            <w:r w:rsidR="00D50B1B" w:rsidRPr="00C109DB">
              <w:t>)</w:t>
            </w:r>
          </w:p>
        </w:tc>
        <w:tc>
          <w:tcPr>
            <w:tcW w:w="4320" w:type="dxa"/>
          </w:tcPr>
          <w:p w14:paraId="022BD7FF" w14:textId="3EA1C4CB" w:rsidR="000E2AE1" w:rsidRPr="000E2AE1" w:rsidRDefault="00A804FB" w:rsidP="000E2AE1">
            <w:pPr>
              <w:pStyle w:val="NoSpacing"/>
              <w:contextualSpacing/>
            </w:pPr>
            <w:r w:rsidRPr="00F171FB">
              <w:rPr>
                <w:b/>
                <w:noProof/>
                <w:color w:val="FF6600"/>
                <w:sz w:val="20"/>
                <w:szCs w:val="20"/>
              </w:rPr>
              <w:lastRenderedPageBreak/>
              <w:drawing>
                <wp:inline distT="0" distB="0" distL="0" distR="0" wp14:anchorId="70C1318D" wp14:editId="3E96EA28">
                  <wp:extent cx="149584" cy="145834"/>
                  <wp:effectExtent l="0" t="0" r="3175"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t xml:space="preserve"> B</w:t>
            </w:r>
            <w:r w:rsidR="000E2AE1" w:rsidRPr="000E2AE1">
              <w:t>y 2030 build the resilience of the poor and those in vulnerable situations, and reduce their exposure and vulnerability to climate-related extreme events and other economic, social and environmental shocks and disasters</w:t>
            </w:r>
            <w:r w:rsidR="000E2AE1">
              <w:t xml:space="preserve"> (</w:t>
            </w:r>
            <w:r w:rsidR="000E2AE1" w:rsidRPr="000E2AE1">
              <w:rPr>
                <w:u w:val="single"/>
              </w:rPr>
              <w:t>OWG</w:t>
            </w:r>
            <w:r w:rsidR="000E2AE1">
              <w:t>)</w:t>
            </w:r>
          </w:p>
          <w:p w14:paraId="5C94E93A" w14:textId="39CB03F4" w:rsidR="00E67743" w:rsidRDefault="00A804FB" w:rsidP="00E67743">
            <w:pPr>
              <w:pStyle w:val="NoSpacing"/>
              <w:contextualSpacing/>
            </w:pPr>
            <w:r w:rsidRPr="00F171FB">
              <w:rPr>
                <w:b/>
                <w:noProof/>
                <w:color w:val="FF6600"/>
                <w:sz w:val="20"/>
                <w:szCs w:val="20"/>
              </w:rPr>
              <w:drawing>
                <wp:inline distT="0" distB="0" distL="0" distR="0" wp14:anchorId="3C637D0F" wp14:editId="4FC184FC">
                  <wp:extent cx="149584" cy="145834"/>
                  <wp:effectExtent l="0" t="0" r="3175"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rsidR="00E67743">
              <w:t xml:space="preserve"> </w:t>
            </w:r>
            <w:r w:rsidR="00EF6761">
              <w:t>B</w:t>
            </w:r>
            <w:r w:rsidR="00E67743" w:rsidRPr="00E67743">
              <w:t xml:space="preserve">y 2030 ensure sustainable food production systems and implement resilient agricultural practices that increase productivity and production, that help </w:t>
            </w:r>
            <w:r w:rsidR="00E67743" w:rsidRPr="00E67743">
              <w:lastRenderedPageBreak/>
              <w:t>maintain ecosystems, that strengthen capacity for adaptation to climate change, extreme weather, drought, flooding and other disasters, and that progressively improve land and soil quality</w:t>
            </w:r>
            <w:r w:rsidR="00E67743">
              <w:t xml:space="preserve"> (</w:t>
            </w:r>
            <w:r w:rsidR="00E67743">
              <w:rPr>
                <w:u w:val="single"/>
              </w:rPr>
              <w:t>OWG</w:t>
            </w:r>
            <w:r w:rsidR="00E67743">
              <w:t>)</w:t>
            </w:r>
          </w:p>
          <w:p w14:paraId="2D10A840" w14:textId="002B2CA5" w:rsidR="00693BC6" w:rsidRDefault="00A804FB" w:rsidP="00693BC6">
            <w:pPr>
              <w:pStyle w:val="NoSpacing"/>
              <w:contextualSpacing/>
            </w:pPr>
            <w:r w:rsidRPr="00F171FB">
              <w:rPr>
                <w:rFonts w:cs="Menlo Regular"/>
                <w:noProof/>
                <w:color w:val="008000"/>
                <w:sz w:val="20"/>
                <w:szCs w:val="20"/>
              </w:rPr>
              <w:drawing>
                <wp:inline distT="0" distB="0" distL="0" distR="0" wp14:anchorId="2CF6CBA5" wp14:editId="12EF44B2">
                  <wp:extent cx="135935" cy="132347"/>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t xml:space="preserve"> </w:t>
            </w:r>
            <w:r w:rsidR="00693BC6">
              <w:t>D</w:t>
            </w:r>
            <w:r w:rsidR="00693BC6" w:rsidRPr="00693BC6">
              <w:t>evelop quality, reliable, sustainable and resilient infrastructure, including regional and trans-border infrastructure, to support economic development and human well-being, with a focus on affordable and equitable access for all</w:t>
            </w:r>
            <w:r w:rsidR="00693BC6">
              <w:t xml:space="preserve"> (</w:t>
            </w:r>
            <w:r w:rsidR="00693BC6">
              <w:rPr>
                <w:u w:val="single"/>
              </w:rPr>
              <w:t>OWG</w:t>
            </w:r>
            <w:r w:rsidR="00693BC6">
              <w:t>)</w:t>
            </w:r>
          </w:p>
          <w:p w14:paraId="092C5615" w14:textId="55DD5425" w:rsidR="00693BC6" w:rsidRDefault="00A804FB" w:rsidP="00E67743">
            <w:pPr>
              <w:pStyle w:val="NoSpacing"/>
              <w:contextualSpacing/>
            </w:pPr>
            <w:r w:rsidRPr="00F171FB">
              <w:rPr>
                <w:b/>
                <w:noProof/>
                <w:color w:val="FF6600"/>
                <w:sz w:val="20"/>
                <w:szCs w:val="20"/>
              </w:rPr>
              <w:drawing>
                <wp:inline distT="0" distB="0" distL="0" distR="0" wp14:anchorId="6477DE58" wp14:editId="6599BC65">
                  <wp:extent cx="149584" cy="145834"/>
                  <wp:effectExtent l="0" t="0" r="317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0" b="100000" l="0" r="94737"/>
                                    </a14:imgEffect>
                                  </a14:imgLayer>
                                </a14:imgProps>
                              </a:ext>
                              <a:ext uri="{28A0092B-C50C-407E-A947-70E740481C1C}">
                                <a14:useLocalDpi xmlns:a14="http://schemas.microsoft.com/office/drawing/2010/main" val="0"/>
                              </a:ext>
                            </a:extLst>
                          </a:blip>
                          <a:srcRect/>
                          <a:stretch>
                            <a:fillRect/>
                          </a:stretch>
                        </pic:blipFill>
                        <pic:spPr bwMode="auto">
                          <a:xfrm>
                            <a:off x="0" y="0"/>
                            <a:ext cx="150145" cy="146381"/>
                          </a:xfrm>
                          <a:prstGeom prst="rect">
                            <a:avLst/>
                          </a:prstGeom>
                          <a:noFill/>
                          <a:ln>
                            <a:noFill/>
                          </a:ln>
                        </pic:spPr>
                      </pic:pic>
                    </a:graphicData>
                  </a:graphic>
                </wp:inline>
              </w:drawing>
            </w:r>
            <w:r>
              <w:t xml:space="preserve"> </w:t>
            </w:r>
            <w:r w:rsidR="00C164E4">
              <w:t>B</w:t>
            </w:r>
            <w:r w:rsidR="00C164E4" w:rsidRPr="00C164E4">
              <w:t>y 2020, increase by x% the number of cities and human settlements adopting and implementing integrated policies and plans towards inclusion, resource efficiency, mitigation and adaptation to climate change, resilience to disasters, develop and implement in line with the forthcoming Hyogo Framework holistic disaster risk management at all levels</w:t>
            </w:r>
            <w:r w:rsidR="00C164E4">
              <w:t xml:space="preserve"> (</w:t>
            </w:r>
            <w:r w:rsidR="00C164E4">
              <w:rPr>
                <w:u w:val="single"/>
              </w:rPr>
              <w:t>OWG</w:t>
            </w:r>
            <w:r w:rsidR="00C164E4">
              <w:t>)</w:t>
            </w:r>
          </w:p>
          <w:p w14:paraId="48225236" w14:textId="26877067" w:rsidR="00337761" w:rsidRPr="00337761" w:rsidRDefault="00A804FB" w:rsidP="00E67743">
            <w:pPr>
              <w:pStyle w:val="NoSpacing"/>
              <w:contextualSpacing/>
            </w:pPr>
            <w:r w:rsidRPr="00F171FB">
              <w:rPr>
                <w:rFonts w:cs="Menlo Regular"/>
                <w:noProof/>
                <w:color w:val="008000"/>
                <w:sz w:val="20"/>
                <w:szCs w:val="20"/>
              </w:rPr>
              <w:drawing>
                <wp:inline distT="0" distB="0" distL="0" distR="0" wp14:anchorId="34EFD704" wp14:editId="701885BF">
                  <wp:extent cx="135935" cy="132347"/>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5714" b="100000" l="5556" r="100000"/>
                                    </a14:imgEffect>
                                  </a14:imgLayer>
                                </a14:imgProps>
                              </a:ext>
                              <a:ext uri="{28A0092B-C50C-407E-A947-70E740481C1C}">
                                <a14:useLocalDpi xmlns:a14="http://schemas.microsoft.com/office/drawing/2010/main" val="0"/>
                              </a:ext>
                            </a:extLst>
                          </a:blip>
                          <a:srcRect/>
                          <a:stretch>
                            <a:fillRect/>
                          </a:stretch>
                        </pic:blipFill>
                        <pic:spPr bwMode="auto">
                          <a:xfrm>
                            <a:off x="0" y="0"/>
                            <a:ext cx="136605" cy="132999"/>
                          </a:xfrm>
                          <a:prstGeom prst="rect">
                            <a:avLst/>
                          </a:prstGeom>
                          <a:noFill/>
                          <a:ln>
                            <a:noFill/>
                          </a:ln>
                        </pic:spPr>
                      </pic:pic>
                    </a:graphicData>
                  </a:graphic>
                </wp:inline>
              </w:drawing>
            </w:r>
            <w:r w:rsidR="00337761">
              <w:t xml:space="preserve"> </w:t>
            </w:r>
            <w:r w:rsidR="00337761" w:rsidRPr="00337761">
              <w:t>There is also an urgent need for governments to invest adequately in disaster risk mitigation and in systems that build resilience against shocks, as well as in environmental preservation, especially in areas where local populations depend on natural resources.</w:t>
            </w:r>
            <w:r w:rsidR="00337761">
              <w:t xml:space="preserve"> (</w:t>
            </w:r>
            <w:r w:rsidR="00337761">
              <w:rPr>
                <w:u w:val="single"/>
              </w:rPr>
              <w:t>ICESDF</w:t>
            </w:r>
            <w:r w:rsidR="00337761">
              <w:t>)</w:t>
            </w:r>
          </w:p>
        </w:tc>
      </w:tr>
    </w:tbl>
    <w:p w14:paraId="13925D1B" w14:textId="00EFC7E2" w:rsidR="00120435" w:rsidRPr="00037905" w:rsidRDefault="00120435" w:rsidP="00D50B1B">
      <w:pPr>
        <w:pStyle w:val="NoSpacing"/>
        <w:rPr>
          <w:rFonts w:ascii="Calibri" w:hAnsi="Calibri"/>
          <w:b/>
          <w:sz w:val="23"/>
          <w:szCs w:val="23"/>
          <w:u w:val="single"/>
        </w:rPr>
      </w:pPr>
    </w:p>
    <w:sectPr w:rsidR="00120435" w:rsidRPr="00037905" w:rsidSect="0080099F">
      <w:footerReference w:type="even" r:id="rId15"/>
      <w:footerReference w:type="default" r:id="rId16"/>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13BE4" w14:textId="77777777" w:rsidR="00F2006A" w:rsidRDefault="00F2006A">
      <w:pPr>
        <w:spacing w:after="0" w:line="240" w:lineRule="auto"/>
      </w:pPr>
      <w:r>
        <w:separator/>
      </w:r>
    </w:p>
  </w:endnote>
  <w:endnote w:type="continuationSeparator" w:id="0">
    <w:p w14:paraId="2295DC8C" w14:textId="77777777" w:rsidR="00F2006A" w:rsidRDefault="00F2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A8356" w14:textId="77777777" w:rsidR="00D169CA" w:rsidRDefault="00D169CA" w:rsidP="00290E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B5D72BA" w14:textId="77777777" w:rsidR="00D169CA" w:rsidRDefault="00D169CA" w:rsidP="00290E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3FA5" w14:textId="77777777" w:rsidR="00D169CA" w:rsidRPr="007B2629" w:rsidRDefault="00D169CA" w:rsidP="00290ED8">
    <w:pPr>
      <w:pStyle w:val="Footer"/>
      <w:framePr w:wrap="around" w:vAnchor="text" w:hAnchor="margin" w:xAlign="right" w:y="1"/>
      <w:rPr>
        <w:rStyle w:val="PageNumber"/>
        <w:rFonts w:asciiTheme="majorHAnsi" w:hAnsiTheme="majorHAnsi"/>
        <w:sz w:val="20"/>
        <w:szCs w:val="20"/>
      </w:rPr>
    </w:pPr>
    <w:r w:rsidRPr="007B2629">
      <w:rPr>
        <w:rStyle w:val="PageNumber"/>
        <w:rFonts w:asciiTheme="majorHAnsi" w:hAnsiTheme="majorHAnsi"/>
        <w:sz w:val="20"/>
        <w:szCs w:val="20"/>
      </w:rPr>
      <w:fldChar w:fldCharType="begin"/>
    </w:r>
    <w:r w:rsidRPr="007B2629">
      <w:rPr>
        <w:rStyle w:val="PageNumber"/>
        <w:rFonts w:asciiTheme="majorHAnsi" w:hAnsiTheme="majorHAnsi"/>
        <w:sz w:val="20"/>
        <w:szCs w:val="20"/>
      </w:rPr>
      <w:instrText xml:space="preserve">PAGE  </w:instrText>
    </w:r>
    <w:r w:rsidRPr="007B2629">
      <w:rPr>
        <w:rStyle w:val="PageNumber"/>
        <w:rFonts w:asciiTheme="majorHAnsi" w:hAnsiTheme="majorHAnsi"/>
        <w:sz w:val="20"/>
        <w:szCs w:val="20"/>
      </w:rPr>
      <w:fldChar w:fldCharType="separate"/>
    </w:r>
    <w:r w:rsidR="00876C17">
      <w:rPr>
        <w:rStyle w:val="PageNumber"/>
        <w:rFonts w:asciiTheme="majorHAnsi" w:hAnsiTheme="majorHAnsi"/>
        <w:noProof/>
        <w:sz w:val="20"/>
        <w:szCs w:val="20"/>
      </w:rPr>
      <w:t>1</w:t>
    </w:r>
    <w:r w:rsidRPr="007B2629">
      <w:rPr>
        <w:rStyle w:val="PageNumber"/>
        <w:rFonts w:asciiTheme="majorHAnsi" w:hAnsiTheme="majorHAnsi"/>
        <w:sz w:val="20"/>
        <w:szCs w:val="20"/>
      </w:rPr>
      <w:fldChar w:fldCharType="end"/>
    </w:r>
  </w:p>
  <w:p w14:paraId="76EB6AF0" w14:textId="45F6D69E" w:rsidR="00D169CA" w:rsidRPr="00876C17" w:rsidRDefault="00726EA7" w:rsidP="00876C17">
    <w:pPr>
      <w:jc w:val="center"/>
      <w:rPr>
        <w:rFonts w:eastAsia="Times New Roman" w:cs="Times New Roman"/>
        <w:sz w:val="18"/>
        <w:szCs w:val="18"/>
      </w:rPr>
    </w:pPr>
    <w:hyperlink r:id="rId1" w:history="1">
      <w:r w:rsidRPr="00836107">
        <w:rPr>
          <w:rStyle w:val="Hyperlink"/>
          <w:rFonts w:ascii="Calibri" w:hAnsi="Calibri"/>
          <w:bCs/>
          <w:sz w:val="18"/>
          <w:szCs w:val="18"/>
        </w:rPr>
        <w:t>www.regionsrefocus.org</w:t>
      </w:r>
    </w:hyperlink>
    <w:r w:rsidR="00876C17" w:rsidRPr="00C86CFE">
      <w:rPr>
        <w:rFonts w:ascii="Calibri" w:eastAsia="Times New Roman" w:hAnsi="Calibri" w:cs="Times New Roman"/>
        <w:sz w:val="18"/>
        <w:szCs w:val="18"/>
      </w:rPr>
      <w:t xml:space="preserve"> </w:t>
    </w:r>
    <w:r w:rsidR="00876C17" w:rsidRPr="00C86CFE">
      <w:rPr>
        <w:rFonts w:eastAsia="Times New Roman" w:cs="Times New Roman"/>
        <w:sz w:val="18"/>
        <w:szCs w:val="18"/>
      </w:rPr>
      <w:t xml:space="preserve">~ </w:t>
    </w:r>
    <w:r w:rsidR="00876C17" w:rsidRPr="00C86CFE">
      <w:rPr>
        <w:rFonts w:ascii="Calibri" w:hAnsi="Calibri"/>
        <w:noProof/>
        <w:sz w:val="18"/>
        <w:szCs w:val="18"/>
      </w:rPr>
      <w:drawing>
        <wp:inline distT="0" distB="0" distL="0" distR="0" wp14:anchorId="0AB92BAB" wp14:editId="7CCD0314">
          <wp:extent cx="106680" cy="106680"/>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876C17" w:rsidRPr="00C86CFE">
      <w:rPr>
        <w:sz w:val="18"/>
        <w:szCs w:val="18"/>
      </w:rPr>
      <w:t xml:space="preserve"> </w:t>
    </w:r>
    <w:hyperlink r:id="rId3" w:history="1">
      <w:r w:rsidR="00876C17" w:rsidRPr="00876C17">
        <w:rPr>
          <w:rStyle w:val="Hyperlink"/>
          <w:rFonts w:ascii="Calibri" w:hAnsi="Calibri"/>
          <w:bCs/>
          <w:sz w:val="18"/>
          <w:szCs w:val="18"/>
        </w:rPr>
        <w:t>@Re</w:t>
      </w:r>
      <w:r>
        <w:rPr>
          <w:rStyle w:val="Hyperlink"/>
          <w:rFonts w:ascii="Calibri" w:hAnsi="Calibri"/>
          <w:bCs/>
          <w:sz w:val="18"/>
          <w:szCs w:val="18"/>
        </w:rPr>
        <w:t>gionsRefocus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3B98E" w14:textId="77777777" w:rsidR="00F2006A" w:rsidRDefault="00F2006A">
      <w:pPr>
        <w:spacing w:after="0" w:line="240" w:lineRule="auto"/>
      </w:pPr>
      <w:r>
        <w:separator/>
      </w:r>
    </w:p>
  </w:footnote>
  <w:footnote w:type="continuationSeparator" w:id="0">
    <w:p w14:paraId="0D6E0916" w14:textId="77777777" w:rsidR="00F2006A" w:rsidRDefault="00F20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0C7"/>
    <w:multiLevelType w:val="hybridMultilevel"/>
    <w:tmpl w:val="DFBCD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77252"/>
    <w:multiLevelType w:val="hybridMultilevel"/>
    <w:tmpl w:val="2E7E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20288"/>
    <w:multiLevelType w:val="hybridMultilevel"/>
    <w:tmpl w:val="F9F4CD0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5D97CDC"/>
    <w:multiLevelType w:val="hybridMultilevel"/>
    <w:tmpl w:val="99F2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94A40"/>
    <w:multiLevelType w:val="hybridMultilevel"/>
    <w:tmpl w:val="8842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07C4"/>
    <w:multiLevelType w:val="hybridMultilevel"/>
    <w:tmpl w:val="1DEE8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634F7"/>
    <w:multiLevelType w:val="hybridMultilevel"/>
    <w:tmpl w:val="6480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C722E"/>
    <w:multiLevelType w:val="hybridMultilevel"/>
    <w:tmpl w:val="3D2E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2310CF"/>
    <w:multiLevelType w:val="hybridMultilevel"/>
    <w:tmpl w:val="FDF6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B7787"/>
    <w:multiLevelType w:val="hybridMultilevel"/>
    <w:tmpl w:val="9D22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A1367"/>
    <w:multiLevelType w:val="hybridMultilevel"/>
    <w:tmpl w:val="18BA1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278B2"/>
    <w:multiLevelType w:val="hybridMultilevel"/>
    <w:tmpl w:val="1F7C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0C1823"/>
    <w:multiLevelType w:val="hybridMultilevel"/>
    <w:tmpl w:val="74E6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420FE"/>
    <w:multiLevelType w:val="hybridMultilevel"/>
    <w:tmpl w:val="AD5A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6177C"/>
    <w:multiLevelType w:val="hybridMultilevel"/>
    <w:tmpl w:val="893E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64365"/>
    <w:multiLevelType w:val="hybridMultilevel"/>
    <w:tmpl w:val="904C2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72B28"/>
    <w:multiLevelType w:val="hybridMultilevel"/>
    <w:tmpl w:val="C48A5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A16FE"/>
    <w:multiLevelType w:val="hybridMultilevel"/>
    <w:tmpl w:val="AC10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6B2BF4"/>
    <w:multiLevelType w:val="hybridMultilevel"/>
    <w:tmpl w:val="BADE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45366A"/>
    <w:multiLevelType w:val="hybridMultilevel"/>
    <w:tmpl w:val="9874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45E78"/>
    <w:multiLevelType w:val="hybridMultilevel"/>
    <w:tmpl w:val="D1F8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0225D6"/>
    <w:multiLevelType w:val="hybridMultilevel"/>
    <w:tmpl w:val="8D928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183E09"/>
    <w:multiLevelType w:val="hybridMultilevel"/>
    <w:tmpl w:val="5A42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B41631"/>
    <w:multiLevelType w:val="hybridMultilevel"/>
    <w:tmpl w:val="546C0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595DBC"/>
    <w:multiLevelType w:val="hybridMultilevel"/>
    <w:tmpl w:val="D452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5241A"/>
    <w:multiLevelType w:val="hybridMultilevel"/>
    <w:tmpl w:val="5728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D447D"/>
    <w:multiLevelType w:val="hybridMultilevel"/>
    <w:tmpl w:val="85A4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621C1"/>
    <w:multiLevelType w:val="hybridMultilevel"/>
    <w:tmpl w:val="21D4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78592D"/>
    <w:multiLevelType w:val="hybridMultilevel"/>
    <w:tmpl w:val="9482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002D6"/>
    <w:multiLevelType w:val="hybridMultilevel"/>
    <w:tmpl w:val="06C05A1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546619F5"/>
    <w:multiLevelType w:val="hybridMultilevel"/>
    <w:tmpl w:val="07C6A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07AFF"/>
    <w:multiLevelType w:val="hybridMultilevel"/>
    <w:tmpl w:val="D228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B16D9"/>
    <w:multiLevelType w:val="hybridMultilevel"/>
    <w:tmpl w:val="8E3C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D405E"/>
    <w:multiLevelType w:val="hybridMultilevel"/>
    <w:tmpl w:val="3F9C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0E2E73"/>
    <w:multiLevelType w:val="hybridMultilevel"/>
    <w:tmpl w:val="433E2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B20682"/>
    <w:multiLevelType w:val="hybridMultilevel"/>
    <w:tmpl w:val="9D32FE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FE3539A"/>
    <w:multiLevelType w:val="hybridMultilevel"/>
    <w:tmpl w:val="FF2E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3141C4"/>
    <w:multiLevelType w:val="hybridMultilevel"/>
    <w:tmpl w:val="6BC4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B091E"/>
    <w:multiLevelType w:val="hybridMultilevel"/>
    <w:tmpl w:val="EFA6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155E59"/>
    <w:multiLevelType w:val="hybridMultilevel"/>
    <w:tmpl w:val="E9089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30396A"/>
    <w:multiLevelType w:val="hybridMultilevel"/>
    <w:tmpl w:val="B4CA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E94AD5"/>
    <w:multiLevelType w:val="hybridMultilevel"/>
    <w:tmpl w:val="9B90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190BFE"/>
    <w:multiLevelType w:val="hybridMultilevel"/>
    <w:tmpl w:val="9F4A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3C3D0B"/>
    <w:multiLevelType w:val="hybridMultilevel"/>
    <w:tmpl w:val="1998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851037"/>
    <w:multiLevelType w:val="hybridMultilevel"/>
    <w:tmpl w:val="8CAC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640AB"/>
    <w:multiLevelType w:val="hybridMultilevel"/>
    <w:tmpl w:val="4980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F210D4"/>
    <w:multiLevelType w:val="hybridMultilevel"/>
    <w:tmpl w:val="82DA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22"/>
  </w:num>
  <w:num w:numId="3">
    <w:abstractNumId w:val="30"/>
  </w:num>
  <w:num w:numId="4">
    <w:abstractNumId w:val="10"/>
  </w:num>
  <w:num w:numId="5">
    <w:abstractNumId w:val="37"/>
  </w:num>
  <w:num w:numId="6">
    <w:abstractNumId w:val="0"/>
  </w:num>
  <w:num w:numId="7">
    <w:abstractNumId w:val="21"/>
  </w:num>
  <w:num w:numId="8">
    <w:abstractNumId w:val="6"/>
  </w:num>
  <w:num w:numId="9">
    <w:abstractNumId w:val="16"/>
  </w:num>
  <w:num w:numId="10">
    <w:abstractNumId w:val="2"/>
  </w:num>
  <w:num w:numId="11">
    <w:abstractNumId w:val="12"/>
  </w:num>
  <w:num w:numId="12">
    <w:abstractNumId w:val="14"/>
  </w:num>
  <w:num w:numId="13">
    <w:abstractNumId w:val="26"/>
  </w:num>
  <w:num w:numId="14">
    <w:abstractNumId w:val="11"/>
  </w:num>
  <w:num w:numId="15">
    <w:abstractNumId w:val="41"/>
  </w:num>
  <w:num w:numId="16">
    <w:abstractNumId w:val="40"/>
  </w:num>
  <w:num w:numId="17">
    <w:abstractNumId w:val="39"/>
  </w:num>
  <w:num w:numId="18">
    <w:abstractNumId w:val="5"/>
  </w:num>
  <w:num w:numId="19">
    <w:abstractNumId w:val="34"/>
  </w:num>
  <w:num w:numId="20">
    <w:abstractNumId w:val="23"/>
  </w:num>
  <w:num w:numId="21">
    <w:abstractNumId w:val="27"/>
  </w:num>
  <w:num w:numId="22">
    <w:abstractNumId w:val="20"/>
  </w:num>
  <w:num w:numId="23">
    <w:abstractNumId w:val="44"/>
  </w:num>
  <w:num w:numId="24">
    <w:abstractNumId w:val="18"/>
  </w:num>
  <w:num w:numId="25">
    <w:abstractNumId w:val="3"/>
  </w:num>
  <w:num w:numId="26">
    <w:abstractNumId w:val="28"/>
  </w:num>
  <w:num w:numId="27">
    <w:abstractNumId w:val="36"/>
  </w:num>
  <w:num w:numId="28">
    <w:abstractNumId w:val="13"/>
  </w:num>
  <w:num w:numId="29">
    <w:abstractNumId w:val="43"/>
  </w:num>
  <w:num w:numId="30">
    <w:abstractNumId w:val="19"/>
  </w:num>
  <w:num w:numId="31">
    <w:abstractNumId w:val="35"/>
  </w:num>
  <w:num w:numId="32">
    <w:abstractNumId w:val="29"/>
  </w:num>
  <w:num w:numId="33">
    <w:abstractNumId w:val="8"/>
  </w:num>
  <w:num w:numId="34">
    <w:abstractNumId w:val="4"/>
  </w:num>
  <w:num w:numId="35">
    <w:abstractNumId w:val="15"/>
  </w:num>
  <w:num w:numId="36">
    <w:abstractNumId w:val="24"/>
  </w:num>
  <w:num w:numId="37">
    <w:abstractNumId w:val="45"/>
  </w:num>
  <w:num w:numId="38">
    <w:abstractNumId w:val="25"/>
  </w:num>
  <w:num w:numId="39">
    <w:abstractNumId w:val="42"/>
  </w:num>
  <w:num w:numId="40">
    <w:abstractNumId w:val="38"/>
  </w:num>
  <w:num w:numId="41">
    <w:abstractNumId w:val="7"/>
  </w:num>
  <w:num w:numId="42">
    <w:abstractNumId w:val="9"/>
  </w:num>
  <w:num w:numId="43">
    <w:abstractNumId w:val="31"/>
  </w:num>
  <w:num w:numId="44">
    <w:abstractNumId w:val="1"/>
  </w:num>
  <w:num w:numId="45">
    <w:abstractNumId w:val="32"/>
  </w:num>
  <w:num w:numId="46">
    <w:abstractNumId w:val="3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AF4"/>
    <w:rsid w:val="00007220"/>
    <w:rsid w:val="00037905"/>
    <w:rsid w:val="000A61A5"/>
    <w:rsid w:val="000E2AE1"/>
    <w:rsid w:val="000E4642"/>
    <w:rsid w:val="00120435"/>
    <w:rsid w:val="0015555F"/>
    <w:rsid w:val="00163E58"/>
    <w:rsid w:val="001A569B"/>
    <w:rsid w:val="001C47B6"/>
    <w:rsid w:val="001E0130"/>
    <w:rsid w:val="001F1393"/>
    <w:rsid w:val="0023296E"/>
    <w:rsid w:val="002524EC"/>
    <w:rsid w:val="00290ED8"/>
    <w:rsid w:val="002951E5"/>
    <w:rsid w:val="002C1C1B"/>
    <w:rsid w:val="002D0AE9"/>
    <w:rsid w:val="00311ACE"/>
    <w:rsid w:val="00337761"/>
    <w:rsid w:val="0034056E"/>
    <w:rsid w:val="00340C87"/>
    <w:rsid w:val="00341896"/>
    <w:rsid w:val="00383E35"/>
    <w:rsid w:val="003A49E3"/>
    <w:rsid w:val="0040498A"/>
    <w:rsid w:val="00431184"/>
    <w:rsid w:val="00482720"/>
    <w:rsid w:val="004B084A"/>
    <w:rsid w:val="004F1439"/>
    <w:rsid w:val="00521955"/>
    <w:rsid w:val="005F5510"/>
    <w:rsid w:val="00604C05"/>
    <w:rsid w:val="006338F8"/>
    <w:rsid w:val="00650AE7"/>
    <w:rsid w:val="00693BC6"/>
    <w:rsid w:val="006D38B8"/>
    <w:rsid w:val="00726EA7"/>
    <w:rsid w:val="00732852"/>
    <w:rsid w:val="007543B9"/>
    <w:rsid w:val="007D61A9"/>
    <w:rsid w:val="007D6DD5"/>
    <w:rsid w:val="0080099F"/>
    <w:rsid w:val="00813953"/>
    <w:rsid w:val="0087423A"/>
    <w:rsid w:val="00876C17"/>
    <w:rsid w:val="008A5EEB"/>
    <w:rsid w:val="0090323D"/>
    <w:rsid w:val="00930A79"/>
    <w:rsid w:val="0093337D"/>
    <w:rsid w:val="009C0F35"/>
    <w:rsid w:val="009E1DAE"/>
    <w:rsid w:val="009E65A5"/>
    <w:rsid w:val="00A41EC0"/>
    <w:rsid w:val="00A804FB"/>
    <w:rsid w:val="00AC530E"/>
    <w:rsid w:val="00B21814"/>
    <w:rsid w:val="00B66A6E"/>
    <w:rsid w:val="00B66FD8"/>
    <w:rsid w:val="00BA07CC"/>
    <w:rsid w:val="00BB3D5C"/>
    <w:rsid w:val="00BD1D2C"/>
    <w:rsid w:val="00C07860"/>
    <w:rsid w:val="00C109DB"/>
    <w:rsid w:val="00C164E4"/>
    <w:rsid w:val="00C60C0F"/>
    <w:rsid w:val="00C618CA"/>
    <w:rsid w:val="00C75F86"/>
    <w:rsid w:val="00D023C0"/>
    <w:rsid w:val="00D109F2"/>
    <w:rsid w:val="00D169CA"/>
    <w:rsid w:val="00D45D83"/>
    <w:rsid w:val="00D50B1B"/>
    <w:rsid w:val="00D6409A"/>
    <w:rsid w:val="00DA39E4"/>
    <w:rsid w:val="00DB3F51"/>
    <w:rsid w:val="00DC466A"/>
    <w:rsid w:val="00DD1992"/>
    <w:rsid w:val="00E31067"/>
    <w:rsid w:val="00E374E3"/>
    <w:rsid w:val="00E67743"/>
    <w:rsid w:val="00EE5917"/>
    <w:rsid w:val="00EF6761"/>
    <w:rsid w:val="00F2006A"/>
    <w:rsid w:val="00F27CEA"/>
    <w:rsid w:val="00F41AF4"/>
    <w:rsid w:val="00F57648"/>
    <w:rsid w:val="00F902C4"/>
    <w:rsid w:val="00FD1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5D3AE"/>
  <w14:defaultImageDpi w14:val="300"/>
  <w15:docId w15:val="{4F389917-10C1-2E46-805B-4F05259F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AF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F41AF4"/>
    <w:rPr>
      <w:rFonts w:eastAsiaTheme="minorHAnsi"/>
      <w:sz w:val="22"/>
      <w:szCs w:val="22"/>
    </w:rPr>
  </w:style>
  <w:style w:type="paragraph" w:styleId="Footer">
    <w:name w:val="footer"/>
    <w:basedOn w:val="Normal"/>
    <w:link w:val="FooterChar"/>
    <w:uiPriority w:val="99"/>
    <w:unhideWhenUsed/>
    <w:rsid w:val="00F41A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1AF4"/>
    <w:rPr>
      <w:rFonts w:eastAsiaTheme="minorHAnsi"/>
      <w:sz w:val="22"/>
      <w:szCs w:val="22"/>
    </w:rPr>
  </w:style>
  <w:style w:type="character" w:styleId="PageNumber">
    <w:name w:val="page number"/>
    <w:basedOn w:val="DefaultParagraphFont"/>
    <w:uiPriority w:val="99"/>
    <w:semiHidden/>
    <w:unhideWhenUsed/>
    <w:rsid w:val="00F41AF4"/>
  </w:style>
  <w:style w:type="paragraph" w:styleId="ListParagraph">
    <w:name w:val="List Paragraph"/>
    <w:basedOn w:val="Normal"/>
    <w:uiPriority w:val="34"/>
    <w:qFormat/>
    <w:rsid w:val="00F41AF4"/>
    <w:pPr>
      <w:ind w:left="720"/>
      <w:contextualSpacing/>
    </w:pPr>
  </w:style>
  <w:style w:type="character" w:styleId="Hyperlink">
    <w:name w:val="Hyperlink"/>
    <w:basedOn w:val="DefaultParagraphFont"/>
    <w:uiPriority w:val="99"/>
    <w:unhideWhenUsed/>
    <w:rsid w:val="00C07860"/>
    <w:rPr>
      <w:color w:val="0000FF" w:themeColor="hyperlink"/>
      <w:u w:val="single"/>
    </w:rPr>
  </w:style>
  <w:style w:type="table" w:styleId="TableGrid">
    <w:name w:val="Table Grid"/>
    <w:basedOn w:val="TableNormal"/>
    <w:uiPriority w:val="59"/>
    <w:rsid w:val="00F902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rsid w:val="00DD1992"/>
    <w:rPr>
      <w:rFonts w:eastAsiaTheme="minorHAnsi"/>
      <w:sz w:val="22"/>
      <w:szCs w:val="22"/>
    </w:rPr>
  </w:style>
  <w:style w:type="paragraph" w:styleId="BalloonText">
    <w:name w:val="Balloon Text"/>
    <w:basedOn w:val="Normal"/>
    <w:link w:val="BalloonTextChar"/>
    <w:uiPriority w:val="99"/>
    <w:semiHidden/>
    <w:unhideWhenUsed/>
    <w:rsid w:val="00DD19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992"/>
    <w:rPr>
      <w:rFonts w:ascii="Lucida Grande" w:eastAsiaTheme="minorHAnsi" w:hAnsi="Lucida Grande" w:cs="Lucida Grande"/>
      <w:sz w:val="18"/>
      <w:szCs w:val="18"/>
    </w:rPr>
  </w:style>
  <w:style w:type="paragraph" w:styleId="Header">
    <w:name w:val="header"/>
    <w:basedOn w:val="Normal"/>
    <w:link w:val="HeaderChar"/>
    <w:uiPriority w:val="99"/>
    <w:unhideWhenUsed/>
    <w:rsid w:val="00F27C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7CEA"/>
    <w:rPr>
      <w:rFonts w:eastAsiaTheme="minorHAnsi"/>
      <w:sz w:val="22"/>
      <w:szCs w:val="22"/>
    </w:rPr>
  </w:style>
  <w:style w:type="character" w:styleId="UnresolvedMention">
    <w:name w:val="Unresolved Mention"/>
    <w:basedOn w:val="DefaultParagraphFont"/>
    <w:uiPriority w:val="99"/>
    <w:semiHidden/>
    <w:unhideWhenUsed/>
    <w:rsid w:val="00726EA7"/>
    <w:rPr>
      <w:color w:val="605E5C"/>
      <w:shd w:val="clear" w:color="auto" w:fill="E1DFDD"/>
    </w:rPr>
  </w:style>
  <w:style w:type="character" w:styleId="FollowedHyperlink">
    <w:name w:val="FollowedHyperlink"/>
    <w:basedOn w:val="DefaultParagraphFont"/>
    <w:uiPriority w:val="99"/>
    <w:semiHidden/>
    <w:unhideWhenUsed/>
    <w:rsid w:val="000A61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02083">
      <w:bodyDiv w:val="1"/>
      <w:marLeft w:val="0"/>
      <w:marRight w:val="0"/>
      <w:marTop w:val="0"/>
      <w:marBottom w:val="0"/>
      <w:divBdr>
        <w:top w:val="none" w:sz="0" w:space="0" w:color="auto"/>
        <w:left w:val="none" w:sz="0" w:space="0" w:color="auto"/>
        <w:bottom w:val="none" w:sz="0" w:space="0" w:color="auto"/>
        <w:right w:val="none" w:sz="0" w:space="0" w:color="auto"/>
      </w:divBdr>
    </w:div>
    <w:div w:id="548878194">
      <w:bodyDiv w:val="1"/>
      <w:marLeft w:val="0"/>
      <w:marRight w:val="0"/>
      <w:marTop w:val="0"/>
      <w:marBottom w:val="0"/>
      <w:divBdr>
        <w:top w:val="none" w:sz="0" w:space="0" w:color="auto"/>
        <w:left w:val="none" w:sz="0" w:space="0" w:color="auto"/>
        <w:bottom w:val="none" w:sz="0" w:space="0" w:color="auto"/>
        <w:right w:val="none" w:sz="0" w:space="0" w:color="auto"/>
      </w:divBdr>
    </w:div>
    <w:div w:id="578831616">
      <w:bodyDiv w:val="1"/>
      <w:marLeft w:val="0"/>
      <w:marRight w:val="0"/>
      <w:marTop w:val="0"/>
      <w:marBottom w:val="0"/>
      <w:divBdr>
        <w:top w:val="none" w:sz="0" w:space="0" w:color="auto"/>
        <w:left w:val="none" w:sz="0" w:space="0" w:color="auto"/>
        <w:bottom w:val="none" w:sz="0" w:space="0" w:color="auto"/>
        <w:right w:val="none" w:sz="0" w:space="0" w:color="auto"/>
      </w:divBdr>
    </w:div>
    <w:div w:id="652565507">
      <w:bodyDiv w:val="1"/>
      <w:marLeft w:val="0"/>
      <w:marRight w:val="0"/>
      <w:marTop w:val="0"/>
      <w:marBottom w:val="0"/>
      <w:divBdr>
        <w:top w:val="none" w:sz="0" w:space="0" w:color="auto"/>
        <w:left w:val="none" w:sz="0" w:space="0" w:color="auto"/>
        <w:bottom w:val="none" w:sz="0" w:space="0" w:color="auto"/>
        <w:right w:val="none" w:sz="0" w:space="0" w:color="auto"/>
      </w:divBdr>
    </w:div>
    <w:div w:id="974792634">
      <w:bodyDiv w:val="1"/>
      <w:marLeft w:val="0"/>
      <w:marRight w:val="0"/>
      <w:marTop w:val="0"/>
      <w:marBottom w:val="0"/>
      <w:divBdr>
        <w:top w:val="none" w:sz="0" w:space="0" w:color="auto"/>
        <w:left w:val="none" w:sz="0" w:space="0" w:color="auto"/>
        <w:bottom w:val="none" w:sz="0" w:space="0" w:color="auto"/>
        <w:right w:val="none" w:sz="0" w:space="0" w:color="auto"/>
      </w:divBdr>
    </w:div>
    <w:div w:id="1122923770">
      <w:bodyDiv w:val="1"/>
      <w:marLeft w:val="0"/>
      <w:marRight w:val="0"/>
      <w:marTop w:val="0"/>
      <w:marBottom w:val="0"/>
      <w:divBdr>
        <w:top w:val="none" w:sz="0" w:space="0" w:color="auto"/>
        <w:left w:val="none" w:sz="0" w:space="0" w:color="auto"/>
        <w:bottom w:val="none" w:sz="0" w:space="0" w:color="auto"/>
        <w:right w:val="none" w:sz="0" w:space="0" w:color="auto"/>
      </w:divBdr>
    </w:div>
    <w:div w:id="1334649541">
      <w:bodyDiv w:val="1"/>
      <w:marLeft w:val="0"/>
      <w:marRight w:val="0"/>
      <w:marTop w:val="0"/>
      <w:marBottom w:val="0"/>
      <w:divBdr>
        <w:top w:val="none" w:sz="0" w:space="0" w:color="auto"/>
        <w:left w:val="none" w:sz="0" w:space="0" w:color="auto"/>
        <w:bottom w:val="none" w:sz="0" w:space="0" w:color="auto"/>
        <w:right w:val="none" w:sz="0" w:space="0" w:color="auto"/>
      </w:divBdr>
    </w:div>
    <w:div w:id="1394549230">
      <w:bodyDiv w:val="1"/>
      <w:marLeft w:val="0"/>
      <w:marRight w:val="0"/>
      <w:marTop w:val="0"/>
      <w:marBottom w:val="0"/>
      <w:divBdr>
        <w:top w:val="none" w:sz="0" w:space="0" w:color="auto"/>
        <w:left w:val="none" w:sz="0" w:space="0" w:color="auto"/>
        <w:bottom w:val="none" w:sz="0" w:space="0" w:color="auto"/>
        <w:right w:val="none" w:sz="0" w:space="0" w:color="auto"/>
      </w:divBdr>
    </w:div>
    <w:div w:id="1571234867">
      <w:bodyDiv w:val="1"/>
      <w:marLeft w:val="0"/>
      <w:marRight w:val="0"/>
      <w:marTop w:val="0"/>
      <w:marBottom w:val="0"/>
      <w:divBdr>
        <w:top w:val="none" w:sz="0" w:space="0" w:color="auto"/>
        <w:left w:val="none" w:sz="0" w:space="0" w:color="auto"/>
        <w:bottom w:val="none" w:sz="0" w:space="0" w:color="auto"/>
        <w:right w:val="none" w:sz="0" w:space="0" w:color="auto"/>
      </w:divBdr>
    </w:div>
    <w:div w:id="1696807167">
      <w:bodyDiv w:val="1"/>
      <w:marLeft w:val="0"/>
      <w:marRight w:val="0"/>
      <w:marTop w:val="0"/>
      <w:marBottom w:val="0"/>
      <w:divBdr>
        <w:top w:val="none" w:sz="0" w:space="0" w:color="auto"/>
        <w:left w:val="none" w:sz="0" w:space="0" w:color="auto"/>
        <w:bottom w:val="none" w:sz="0" w:space="0" w:color="auto"/>
        <w:right w:val="none" w:sz="0" w:space="0" w:color="auto"/>
      </w:divBdr>
    </w:div>
    <w:div w:id="1961690882">
      <w:bodyDiv w:val="1"/>
      <w:marLeft w:val="0"/>
      <w:marRight w:val="0"/>
      <w:marTop w:val="0"/>
      <w:marBottom w:val="0"/>
      <w:divBdr>
        <w:top w:val="none" w:sz="0" w:space="0" w:color="auto"/>
        <w:left w:val="none" w:sz="0" w:space="0" w:color="auto"/>
        <w:bottom w:val="none" w:sz="0" w:space="0" w:color="auto"/>
        <w:right w:val="none" w:sz="0" w:space="0" w:color="auto"/>
      </w:divBdr>
    </w:div>
    <w:div w:id="2087258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pltggK"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bit.ly/RUv3gm" TargetMode="External"/><Relationship Id="rId14" Type="http://schemas.microsoft.com/office/2007/relationships/hdphoto" Target="media/hdphoto2.wdp"/></Relationships>
</file>

<file path=word/_rels/footer2.xml.rels><?xml version="1.0" encoding="UTF-8" standalone="yes"?>
<Relationships xmlns="http://schemas.openxmlformats.org/package/2006/relationships"><Relationship Id="rId3" Type="http://schemas.openxmlformats.org/officeDocument/2006/relationships/hyperlink" Target="https://twitter.com/RegionsRefocus" TargetMode="External"/><Relationship Id="rId2" Type="http://schemas.openxmlformats.org/officeDocument/2006/relationships/image" Target="media/image5.png"/><Relationship Id="rId1" Type="http://schemas.openxmlformats.org/officeDocument/2006/relationships/hyperlink" Target="http://www.regionsrefoc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1075</Words>
  <Characters>6132</Characters>
  <Application>Microsoft Office Word</Application>
  <DocSecurity>0</DocSecurity>
  <Lines>51</Lines>
  <Paragraphs>14</Paragraphs>
  <ScaleCrop>false</ScaleCrop>
  <Company>United Nations Non-Govermental Liaison Service</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TOBIN</dc:creator>
  <cp:keywords/>
  <dc:description/>
  <cp:lastModifiedBy>team@regionsrefocus.org</cp:lastModifiedBy>
  <cp:revision>7</cp:revision>
  <cp:lastPrinted>2014-12-15T02:19:00Z</cp:lastPrinted>
  <dcterms:created xsi:type="dcterms:W3CDTF">2014-12-15T02:19:00Z</dcterms:created>
  <dcterms:modified xsi:type="dcterms:W3CDTF">2019-10-08T15:30:00Z</dcterms:modified>
</cp:coreProperties>
</file>